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6B5C" w:rsidRDefault="00B36B5C">
      <w:bookmarkStart w:id="0" w:name="_GoBack"/>
      <w:bookmarkEnd w:id="0"/>
    </w:p>
    <w:p w:rsidR="00B36B5C" w:rsidRDefault="00B36B5C"/>
    <w:p w:rsidR="00B36B5C" w:rsidRDefault="00A92D32">
      <w:r>
        <w:rPr>
          <w:noProof/>
        </w:rPr>
        <w:pict>
          <v:shapetype id="_x0000_t202" coordsize="21600,21600" o:spt="202" path="m,l,21600r21600,l21600,xe">
            <v:stroke joinstyle="miter"/>
            <v:path gradientshapeok="t" o:connecttype="rect"/>
          </v:shapetype>
          <v:shape id="_x0000_s1026" type="#_x0000_t202" style="position:absolute;margin-left:278.25pt;margin-top:-29.55pt;width:213.6pt;height:41.75pt;z-index:251657728;mso-wrap-style:none" stroked="f">
            <v:textbox style="mso-next-textbox:#_x0000_s1026;mso-fit-shape-to-text:t">
              <w:txbxContent>
                <w:p w:rsidR="00CF118D" w:rsidRDefault="00CF118D">
                  <w:r>
                    <w:rPr>
                      <w:noProof/>
                    </w:rPr>
                    <w:drawing>
                      <wp:inline distT="0" distB="0" distL="0" distR="0">
                        <wp:extent cx="2534285" cy="443865"/>
                        <wp:effectExtent l="19050" t="0" r="0" b="0"/>
                        <wp:docPr id="6" name="Picture 6" descr="NG_corp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G_corp_286"/>
                                <pic:cNvPicPr>
                                  <a:picLocks noChangeAspect="1" noChangeArrowheads="1"/>
                                </pic:cNvPicPr>
                              </pic:nvPicPr>
                              <pic:blipFill>
                                <a:blip r:embed="rId12"/>
                                <a:srcRect/>
                                <a:stretch>
                                  <a:fillRect/>
                                </a:stretch>
                              </pic:blipFill>
                              <pic:spPr bwMode="auto">
                                <a:xfrm>
                                  <a:off x="0" y="0"/>
                                  <a:ext cx="2534285" cy="443865"/>
                                </a:xfrm>
                                <a:prstGeom prst="rect">
                                  <a:avLst/>
                                </a:prstGeom>
                                <a:noFill/>
                                <a:ln w="9525">
                                  <a:noFill/>
                                  <a:miter lim="800000"/>
                                  <a:headEnd/>
                                  <a:tailEnd/>
                                </a:ln>
                              </pic:spPr>
                            </pic:pic>
                          </a:graphicData>
                        </a:graphic>
                      </wp:inline>
                    </w:drawing>
                  </w:r>
                </w:p>
              </w:txbxContent>
            </v:textbox>
          </v:shape>
        </w:pict>
      </w:r>
    </w:p>
    <w:p w:rsidR="002D2DDB" w:rsidRDefault="002D2DDB">
      <w:pPr>
        <w:jc w:val="center"/>
      </w:pPr>
      <w:r>
        <w:rPr>
          <w:noProof/>
        </w:rPr>
        <w:drawing>
          <wp:inline distT="0" distB="0" distL="0" distR="0">
            <wp:extent cx="3249083" cy="2413000"/>
            <wp:effectExtent l="19050" t="0" r="8467" b="0"/>
            <wp:docPr id="2" name="Picture 1"/>
            <wp:cNvGraphicFramePr/>
            <a:graphic xmlns:a="http://schemas.openxmlformats.org/drawingml/2006/main">
              <a:graphicData uri="http://schemas.openxmlformats.org/drawingml/2006/picture">
                <pic:pic xmlns:pic="http://schemas.openxmlformats.org/drawingml/2006/picture">
                  <pic:nvPicPr>
                    <pic:cNvPr id="1031" name="Picture 2"/>
                    <pic:cNvPicPr>
                      <a:picLocks noChangeAspect="1" noChangeArrowheads="1"/>
                    </pic:cNvPicPr>
                  </pic:nvPicPr>
                  <pic:blipFill>
                    <a:blip r:embed="rId13" cstate="print"/>
                    <a:srcRect l="2354" t="9850" r="3670" b="8125"/>
                    <a:stretch>
                      <a:fillRect/>
                    </a:stretch>
                  </pic:blipFill>
                  <pic:spPr bwMode="auto">
                    <a:xfrm>
                      <a:off x="0" y="0"/>
                      <a:ext cx="3240212" cy="2406412"/>
                    </a:xfrm>
                    <a:prstGeom prst="rect">
                      <a:avLst/>
                    </a:prstGeom>
                    <a:noFill/>
                    <a:ln w="9525">
                      <a:noFill/>
                      <a:miter lim="800000"/>
                      <a:headEnd/>
                      <a:tailEnd/>
                    </a:ln>
                  </pic:spPr>
                </pic:pic>
              </a:graphicData>
            </a:graphic>
          </wp:inline>
        </w:drawing>
      </w:r>
    </w:p>
    <w:p w:rsidR="00B36B5C" w:rsidRDefault="00B36B5C"/>
    <w:p w:rsidR="00B36B5C" w:rsidRDefault="00B36B5C"/>
    <w:p w:rsidR="00B36B5C" w:rsidRDefault="00B36B5C"/>
    <w:p w:rsidR="00B36B5C" w:rsidRDefault="00B36B5C"/>
    <w:p w:rsidR="00B36B5C" w:rsidRDefault="00B36B5C"/>
    <w:p w:rsidR="00B36B5C" w:rsidRDefault="00B36B5C"/>
    <w:p w:rsidR="00B36B5C" w:rsidRDefault="00667090" w:rsidP="00B965BD">
      <w:pPr>
        <w:jc w:val="center"/>
        <w:rPr>
          <w:rFonts w:ascii="Arial Black" w:hAnsi="Arial Black"/>
          <w:sz w:val="110"/>
          <w:szCs w:val="110"/>
        </w:rPr>
      </w:pPr>
      <w:r>
        <w:rPr>
          <w:rFonts w:ascii="Arial Black" w:hAnsi="Arial Black"/>
          <w:sz w:val="110"/>
          <w:szCs w:val="110"/>
        </w:rPr>
        <w:t>One Adelante</w:t>
      </w:r>
      <w:r w:rsidR="00415629">
        <w:rPr>
          <w:rFonts w:ascii="Arial Black" w:hAnsi="Arial Black"/>
          <w:sz w:val="110"/>
          <w:szCs w:val="110"/>
        </w:rPr>
        <w:t xml:space="preserve"> </w:t>
      </w:r>
    </w:p>
    <w:p w:rsidR="00B36B5C" w:rsidRDefault="00415629" w:rsidP="00B965BD">
      <w:pPr>
        <w:jc w:val="center"/>
        <w:rPr>
          <w:rFonts w:ascii="Arial Black" w:hAnsi="Arial Black"/>
          <w:sz w:val="64"/>
          <w:szCs w:val="64"/>
        </w:rPr>
      </w:pPr>
      <w:r>
        <w:rPr>
          <w:rFonts w:ascii="Arial Black" w:hAnsi="Arial Black"/>
          <w:sz w:val="64"/>
          <w:szCs w:val="64"/>
        </w:rPr>
        <w:t xml:space="preserve">Governance </w:t>
      </w:r>
      <w:r w:rsidR="00772749">
        <w:rPr>
          <w:rFonts w:ascii="Arial Black" w:hAnsi="Arial Black"/>
          <w:sz w:val="64"/>
          <w:szCs w:val="64"/>
        </w:rPr>
        <w:t>Model</w:t>
      </w:r>
    </w:p>
    <w:p w:rsidR="00B36B5C" w:rsidRDefault="00B36B5C" w:rsidP="00B965BD">
      <w:pPr>
        <w:jc w:val="center"/>
        <w:rPr>
          <w:rFonts w:ascii="Arial Black" w:hAnsi="Arial Black"/>
          <w:sz w:val="64"/>
          <w:szCs w:val="64"/>
        </w:rPr>
      </w:pPr>
    </w:p>
    <w:p w:rsidR="00B36B5C" w:rsidRDefault="00B36B5C" w:rsidP="00B965BD">
      <w:pPr>
        <w:jc w:val="center"/>
        <w:rPr>
          <w:rFonts w:ascii="Arial Black" w:hAnsi="Arial Black"/>
          <w:sz w:val="64"/>
          <w:szCs w:val="64"/>
        </w:rPr>
      </w:pPr>
    </w:p>
    <w:p w:rsidR="00B36B5C" w:rsidRDefault="00B36B5C" w:rsidP="00B965BD">
      <w:pPr>
        <w:jc w:val="center"/>
        <w:rPr>
          <w:rFonts w:ascii="Arial Black" w:hAnsi="Arial Black"/>
          <w:sz w:val="64"/>
          <w:szCs w:val="64"/>
        </w:rPr>
      </w:pPr>
    </w:p>
    <w:p w:rsidR="002D2DDB" w:rsidRDefault="002D2DDB">
      <w:pPr>
        <w:rPr>
          <w:rStyle w:val="CommentReference"/>
        </w:rPr>
      </w:pPr>
    </w:p>
    <w:p w:rsidR="002D2DDB" w:rsidRDefault="002D2DDB">
      <w:pPr>
        <w:rPr>
          <w:rStyle w:val="CommentReference"/>
        </w:rPr>
      </w:pPr>
    </w:p>
    <w:p w:rsidR="002D2DDB" w:rsidRDefault="002D2DDB">
      <w:pPr>
        <w:rPr>
          <w:rStyle w:val="CommentReference"/>
        </w:rPr>
      </w:pPr>
    </w:p>
    <w:p w:rsidR="002D2DDB" w:rsidRDefault="002D2DDB">
      <w:pPr>
        <w:rPr>
          <w:rStyle w:val="CommentReference"/>
        </w:rPr>
      </w:pPr>
    </w:p>
    <w:p w:rsidR="002D2DDB" w:rsidRDefault="002D2DDB">
      <w:pPr>
        <w:rPr>
          <w:rStyle w:val="CommentReference"/>
        </w:rPr>
      </w:pPr>
    </w:p>
    <w:p w:rsidR="00867BE8" w:rsidRDefault="00867BE8" w:rsidP="00A2194B">
      <w:pPr>
        <w:jc w:val="center"/>
        <w:rPr>
          <w:sz w:val="28"/>
          <w:szCs w:val="28"/>
        </w:rPr>
      </w:pPr>
    </w:p>
    <w:p w:rsidR="00A2194B" w:rsidRPr="00867BE8" w:rsidRDefault="002D2DDB" w:rsidP="00A2194B">
      <w:pPr>
        <w:jc w:val="center"/>
        <w:rPr>
          <w:b/>
        </w:rPr>
      </w:pPr>
      <w:r w:rsidRPr="00867BE8">
        <w:rPr>
          <w:b/>
          <w:sz w:val="28"/>
          <w:szCs w:val="28"/>
        </w:rPr>
        <w:lastRenderedPageBreak/>
        <w:t>R</w:t>
      </w:r>
      <w:r w:rsidR="001E28E9" w:rsidRPr="00867BE8">
        <w:rPr>
          <w:b/>
          <w:sz w:val="28"/>
          <w:szCs w:val="28"/>
        </w:rPr>
        <w:t>evisions</w:t>
      </w:r>
    </w:p>
    <w:tbl>
      <w:tblPr>
        <w:tblStyle w:val="TableGrid"/>
        <w:tblW w:w="0" w:type="auto"/>
        <w:tblLook w:val="00BF" w:firstRow="1" w:lastRow="0" w:firstColumn="1" w:lastColumn="0" w:noHBand="0" w:noVBand="0"/>
      </w:tblPr>
      <w:tblGrid>
        <w:gridCol w:w="1188"/>
        <w:gridCol w:w="1440"/>
        <w:gridCol w:w="2495"/>
        <w:gridCol w:w="4248"/>
      </w:tblGrid>
      <w:tr w:rsidR="00A2194B" w:rsidTr="00B333D9">
        <w:tc>
          <w:tcPr>
            <w:tcW w:w="1188" w:type="dxa"/>
          </w:tcPr>
          <w:p w:rsidR="00A2194B" w:rsidRPr="00587427" w:rsidRDefault="00A2194B" w:rsidP="00B333D9">
            <w:pPr>
              <w:jc w:val="center"/>
              <w:rPr>
                <w:b/>
              </w:rPr>
            </w:pPr>
            <w:r w:rsidRPr="00587427">
              <w:rPr>
                <w:b/>
              </w:rPr>
              <w:t>Revision</w:t>
            </w:r>
          </w:p>
        </w:tc>
        <w:tc>
          <w:tcPr>
            <w:tcW w:w="1440" w:type="dxa"/>
          </w:tcPr>
          <w:p w:rsidR="00A2194B" w:rsidRPr="00587427" w:rsidRDefault="00A2194B" w:rsidP="00B333D9">
            <w:pPr>
              <w:jc w:val="center"/>
              <w:rPr>
                <w:b/>
              </w:rPr>
            </w:pPr>
            <w:r w:rsidRPr="00587427">
              <w:rPr>
                <w:b/>
              </w:rPr>
              <w:t>Date</w:t>
            </w:r>
          </w:p>
        </w:tc>
        <w:tc>
          <w:tcPr>
            <w:tcW w:w="1980" w:type="dxa"/>
          </w:tcPr>
          <w:p w:rsidR="00A2194B" w:rsidRPr="00587427" w:rsidRDefault="00A2194B" w:rsidP="00B333D9">
            <w:pPr>
              <w:jc w:val="center"/>
              <w:rPr>
                <w:b/>
              </w:rPr>
            </w:pPr>
            <w:r w:rsidRPr="00587427">
              <w:rPr>
                <w:b/>
              </w:rPr>
              <w:t>Author</w:t>
            </w:r>
          </w:p>
        </w:tc>
        <w:tc>
          <w:tcPr>
            <w:tcW w:w="4248" w:type="dxa"/>
          </w:tcPr>
          <w:p w:rsidR="00A2194B" w:rsidRPr="00587427" w:rsidRDefault="00A2194B" w:rsidP="00B333D9">
            <w:pPr>
              <w:jc w:val="center"/>
              <w:rPr>
                <w:b/>
              </w:rPr>
            </w:pPr>
            <w:r w:rsidRPr="00587427">
              <w:rPr>
                <w:b/>
              </w:rPr>
              <w:t>Description of Change</w:t>
            </w:r>
          </w:p>
        </w:tc>
      </w:tr>
      <w:tr w:rsidR="00A2194B" w:rsidTr="00B333D9">
        <w:tc>
          <w:tcPr>
            <w:tcW w:w="1188" w:type="dxa"/>
          </w:tcPr>
          <w:p w:rsidR="002D2DDB" w:rsidRDefault="004F033C">
            <w:r>
              <w:t>-</w:t>
            </w:r>
          </w:p>
        </w:tc>
        <w:tc>
          <w:tcPr>
            <w:tcW w:w="1440" w:type="dxa"/>
          </w:tcPr>
          <w:p w:rsidR="002D2DDB" w:rsidRDefault="00A2194B">
            <w:r>
              <w:t>11/2010</w:t>
            </w:r>
          </w:p>
        </w:tc>
        <w:tc>
          <w:tcPr>
            <w:tcW w:w="1980" w:type="dxa"/>
          </w:tcPr>
          <w:p w:rsidR="002D2DDB" w:rsidRDefault="00A2194B">
            <w:pPr>
              <w:jc w:val="both"/>
            </w:pPr>
            <w:r>
              <w:t>Perez/Ramirez/Sanchez</w:t>
            </w:r>
          </w:p>
        </w:tc>
        <w:tc>
          <w:tcPr>
            <w:tcW w:w="4248" w:type="dxa"/>
          </w:tcPr>
          <w:p w:rsidR="00A2194B" w:rsidRDefault="00A2194B" w:rsidP="00B333D9">
            <w:r>
              <w:t>Creation of document</w:t>
            </w:r>
          </w:p>
        </w:tc>
      </w:tr>
      <w:tr w:rsidR="00A2194B" w:rsidTr="00B333D9">
        <w:tc>
          <w:tcPr>
            <w:tcW w:w="1188" w:type="dxa"/>
          </w:tcPr>
          <w:p w:rsidR="002D2DDB" w:rsidRDefault="004F033C">
            <w:r>
              <w:t>A</w:t>
            </w:r>
          </w:p>
        </w:tc>
        <w:tc>
          <w:tcPr>
            <w:tcW w:w="1440" w:type="dxa"/>
          </w:tcPr>
          <w:p w:rsidR="002D2DDB" w:rsidRDefault="00A2194B">
            <w:r>
              <w:t>01/2011</w:t>
            </w:r>
          </w:p>
        </w:tc>
        <w:tc>
          <w:tcPr>
            <w:tcW w:w="1980" w:type="dxa"/>
          </w:tcPr>
          <w:p w:rsidR="002D2DDB" w:rsidRDefault="00A2194B">
            <w:r>
              <w:t>Ramirez</w:t>
            </w:r>
          </w:p>
        </w:tc>
        <w:tc>
          <w:tcPr>
            <w:tcW w:w="4248" w:type="dxa"/>
          </w:tcPr>
          <w:p w:rsidR="00A2194B" w:rsidRDefault="00A2194B" w:rsidP="00A2194B">
            <w:r>
              <w:t>Modification based on sector POCs review</w:t>
            </w:r>
            <w:r w:rsidR="00CF2224">
              <w:t xml:space="preserve"> and approval of first release of Governance Model</w:t>
            </w:r>
          </w:p>
        </w:tc>
      </w:tr>
      <w:tr w:rsidR="00A2194B" w:rsidTr="00A2194B">
        <w:tblPrEx>
          <w:tblLook w:val="04A0" w:firstRow="1" w:lastRow="0" w:firstColumn="1" w:lastColumn="0" w:noHBand="0" w:noVBand="1"/>
        </w:tblPrEx>
        <w:tc>
          <w:tcPr>
            <w:tcW w:w="1188" w:type="dxa"/>
          </w:tcPr>
          <w:p w:rsidR="002D2DDB" w:rsidRDefault="004F033C">
            <w:r>
              <w:t>B</w:t>
            </w:r>
          </w:p>
        </w:tc>
        <w:tc>
          <w:tcPr>
            <w:tcW w:w="1440" w:type="dxa"/>
          </w:tcPr>
          <w:p w:rsidR="002D2DDB" w:rsidRDefault="001E28E9">
            <w:pPr>
              <w:rPr>
                <w:b/>
              </w:rPr>
            </w:pPr>
            <w:r w:rsidRPr="001E28E9">
              <w:t>02/2011</w:t>
            </w:r>
          </w:p>
        </w:tc>
        <w:tc>
          <w:tcPr>
            <w:tcW w:w="1980" w:type="dxa"/>
          </w:tcPr>
          <w:p w:rsidR="002D2DDB" w:rsidRDefault="001E28E9">
            <w:r w:rsidRPr="001E28E9">
              <w:t>Ramirez</w:t>
            </w:r>
          </w:p>
        </w:tc>
        <w:tc>
          <w:tcPr>
            <w:tcW w:w="4248" w:type="dxa"/>
          </w:tcPr>
          <w:p w:rsidR="002D2DDB" w:rsidRDefault="001E28E9">
            <w:pPr>
              <w:rPr>
                <w:b/>
              </w:rPr>
            </w:pPr>
            <w:r w:rsidRPr="001E28E9">
              <w:t>Modifications</w:t>
            </w:r>
            <w:r w:rsidR="00A2194B">
              <w:rPr>
                <w:b/>
              </w:rPr>
              <w:t xml:space="preserve"> </w:t>
            </w:r>
            <w:r w:rsidRPr="001E28E9">
              <w:t>based on</w:t>
            </w:r>
            <w:r w:rsidR="00A2194B">
              <w:rPr>
                <w:b/>
              </w:rPr>
              <w:t xml:space="preserve"> </w:t>
            </w:r>
            <w:r w:rsidRPr="001E28E9">
              <w:t>EEO Diversity Review</w:t>
            </w:r>
            <w:r w:rsidR="00A2194B">
              <w:rPr>
                <w:b/>
              </w:rPr>
              <w:t xml:space="preserve"> </w:t>
            </w:r>
          </w:p>
        </w:tc>
      </w:tr>
      <w:tr w:rsidR="00A2194B" w:rsidTr="00A2194B">
        <w:tblPrEx>
          <w:tblLook w:val="04A0" w:firstRow="1" w:lastRow="0" w:firstColumn="1" w:lastColumn="0" w:noHBand="0" w:noVBand="1"/>
        </w:tblPrEx>
        <w:tc>
          <w:tcPr>
            <w:tcW w:w="1188" w:type="dxa"/>
          </w:tcPr>
          <w:p w:rsidR="002D2DDB" w:rsidRDefault="004F033C">
            <w:r>
              <w:t>C</w:t>
            </w:r>
          </w:p>
        </w:tc>
        <w:tc>
          <w:tcPr>
            <w:tcW w:w="1440" w:type="dxa"/>
          </w:tcPr>
          <w:p w:rsidR="002D2DDB" w:rsidRDefault="004F033C">
            <w:r>
              <w:t>03/2011</w:t>
            </w:r>
          </w:p>
        </w:tc>
        <w:tc>
          <w:tcPr>
            <w:tcW w:w="1980" w:type="dxa"/>
          </w:tcPr>
          <w:p w:rsidR="002D2DDB" w:rsidRDefault="004F033C">
            <w:r>
              <w:t>Ramirez</w:t>
            </w:r>
          </w:p>
        </w:tc>
        <w:tc>
          <w:tcPr>
            <w:tcW w:w="4248" w:type="dxa"/>
          </w:tcPr>
          <w:p w:rsidR="00A2194B" w:rsidRDefault="004F033C" w:rsidP="00B333D9">
            <w:r>
              <w:t>Modification based on sector’s review</w:t>
            </w:r>
            <w:r w:rsidR="001529EF">
              <w:t xml:space="preserve"> and approval of Governance Model</w:t>
            </w:r>
          </w:p>
        </w:tc>
      </w:tr>
      <w:tr w:rsidR="00A2194B" w:rsidTr="00A2194B">
        <w:tblPrEx>
          <w:tblLook w:val="04A0" w:firstRow="1" w:lastRow="0" w:firstColumn="1" w:lastColumn="0" w:noHBand="0" w:noVBand="1"/>
        </w:tblPrEx>
        <w:tc>
          <w:tcPr>
            <w:tcW w:w="1188" w:type="dxa"/>
          </w:tcPr>
          <w:p w:rsidR="00A2194B" w:rsidRDefault="002D2DDB" w:rsidP="00867BE8">
            <w:r>
              <w:t>D</w:t>
            </w:r>
          </w:p>
        </w:tc>
        <w:tc>
          <w:tcPr>
            <w:tcW w:w="1440" w:type="dxa"/>
          </w:tcPr>
          <w:p w:rsidR="00A2194B" w:rsidRDefault="002D2DDB" w:rsidP="00B333D9">
            <w:pPr>
              <w:jc w:val="center"/>
            </w:pPr>
            <w:r>
              <w:t>05/25/2011</w:t>
            </w:r>
          </w:p>
        </w:tc>
        <w:tc>
          <w:tcPr>
            <w:tcW w:w="1980" w:type="dxa"/>
          </w:tcPr>
          <w:p w:rsidR="00A2194B" w:rsidRDefault="002D2DDB" w:rsidP="00867BE8">
            <w:r>
              <w:t>Ramirez</w:t>
            </w:r>
          </w:p>
        </w:tc>
        <w:tc>
          <w:tcPr>
            <w:tcW w:w="4248" w:type="dxa"/>
          </w:tcPr>
          <w:p w:rsidR="00A2194B" w:rsidRDefault="002D2DDB" w:rsidP="00B333D9">
            <w:r>
              <w:t>Approval from OA Board</w:t>
            </w:r>
          </w:p>
        </w:tc>
      </w:tr>
      <w:tr w:rsidR="00A2194B" w:rsidTr="00A2194B">
        <w:tblPrEx>
          <w:tblLook w:val="04A0" w:firstRow="1" w:lastRow="0" w:firstColumn="1" w:lastColumn="0" w:noHBand="0" w:noVBand="1"/>
        </w:tblPrEx>
        <w:tc>
          <w:tcPr>
            <w:tcW w:w="1188" w:type="dxa"/>
          </w:tcPr>
          <w:p w:rsidR="00A2194B" w:rsidRDefault="004C6554" w:rsidP="004C6554">
            <w:r>
              <w:t>E</w:t>
            </w:r>
          </w:p>
        </w:tc>
        <w:tc>
          <w:tcPr>
            <w:tcW w:w="1440" w:type="dxa"/>
          </w:tcPr>
          <w:p w:rsidR="00A2194B" w:rsidRDefault="004C6554" w:rsidP="00B333D9">
            <w:pPr>
              <w:jc w:val="center"/>
            </w:pPr>
            <w:r>
              <w:t>06/10/11</w:t>
            </w:r>
          </w:p>
        </w:tc>
        <w:tc>
          <w:tcPr>
            <w:tcW w:w="1980" w:type="dxa"/>
          </w:tcPr>
          <w:p w:rsidR="00A2194B" w:rsidRDefault="004C6554" w:rsidP="004C6554">
            <w:r>
              <w:t>Ramirez</w:t>
            </w:r>
          </w:p>
        </w:tc>
        <w:tc>
          <w:tcPr>
            <w:tcW w:w="4248" w:type="dxa"/>
          </w:tcPr>
          <w:p w:rsidR="00A2194B" w:rsidRDefault="004C6554" w:rsidP="00B333D9">
            <w:r>
              <w:t>Modifications based on sector leads review &amp; OA chair review</w:t>
            </w:r>
          </w:p>
        </w:tc>
      </w:tr>
      <w:tr w:rsidR="00A2194B" w:rsidTr="00A2194B">
        <w:tblPrEx>
          <w:tblLook w:val="04A0" w:firstRow="1" w:lastRow="0" w:firstColumn="1" w:lastColumn="0" w:noHBand="0" w:noVBand="1"/>
        </w:tblPrEx>
        <w:tc>
          <w:tcPr>
            <w:tcW w:w="1188" w:type="dxa"/>
          </w:tcPr>
          <w:p w:rsidR="00A2194B" w:rsidRDefault="00A2194B" w:rsidP="00B333D9">
            <w:pPr>
              <w:jc w:val="center"/>
            </w:pPr>
          </w:p>
        </w:tc>
        <w:tc>
          <w:tcPr>
            <w:tcW w:w="1440" w:type="dxa"/>
          </w:tcPr>
          <w:p w:rsidR="00A2194B" w:rsidRDefault="00A2194B" w:rsidP="00B333D9">
            <w:pPr>
              <w:jc w:val="center"/>
            </w:pPr>
          </w:p>
        </w:tc>
        <w:tc>
          <w:tcPr>
            <w:tcW w:w="1980" w:type="dxa"/>
          </w:tcPr>
          <w:p w:rsidR="00A2194B" w:rsidRDefault="00A2194B" w:rsidP="00B333D9">
            <w:pPr>
              <w:jc w:val="center"/>
            </w:pPr>
          </w:p>
        </w:tc>
        <w:tc>
          <w:tcPr>
            <w:tcW w:w="4248" w:type="dxa"/>
          </w:tcPr>
          <w:p w:rsidR="00A2194B" w:rsidRDefault="00A2194B" w:rsidP="00B333D9"/>
        </w:tc>
      </w:tr>
    </w:tbl>
    <w:p w:rsidR="002D2DDB" w:rsidRDefault="002D2DDB"/>
    <w:p w:rsidR="002D2DDB" w:rsidRDefault="002D2DDB"/>
    <w:p w:rsidR="002D2DDB" w:rsidRDefault="002D2DDB"/>
    <w:p w:rsidR="002D2DDB" w:rsidRDefault="002D2DDB"/>
    <w:p w:rsidR="002D2DDB" w:rsidRDefault="002D2DDB"/>
    <w:p w:rsidR="002D2DDB" w:rsidRDefault="002D2DDB"/>
    <w:p w:rsidR="002D2DDB" w:rsidRDefault="002D2DDB"/>
    <w:p w:rsidR="002D2DDB" w:rsidRDefault="002D2DDB"/>
    <w:p w:rsidR="002D2DDB" w:rsidRDefault="002D2DDB"/>
    <w:p w:rsidR="002D2DDB" w:rsidRDefault="002D2DDB"/>
    <w:p w:rsidR="002D2DDB" w:rsidRDefault="002D2DDB"/>
    <w:p w:rsidR="002D2DDB" w:rsidRDefault="002D2DDB"/>
    <w:p w:rsidR="002D2DDB" w:rsidRDefault="002D2DDB"/>
    <w:p w:rsidR="002D2DDB" w:rsidRDefault="002D2DDB"/>
    <w:p w:rsidR="002D2DDB" w:rsidRDefault="002D2DDB"/>
    <w:p w:rsidR="00867BE8" w:rsidRDefault="00867BE8"/>
    <w:p w:rsidR="00867BE8" w:rsidRDefault="00867BE8"/>
    <w:p w:rsidR="00867BE8" w:rsidRDefault="00867BE8"/>
    <w:p w:rsidR="00867BE8" w:rsidRDefault="00867BE8"/>
    <w:p w:rsidR="00867BE8" w:rsidRDefault="00867BE8"/>
    <w:p w:rsidR="00867BE8" w:rsidRDefault="00867BE8"/>
    <w:p w:rsidR="00867BE8" w:rsidRDefault="00867BE8"/>
    <w:p w:rsidR="00867BE8" w:rsidRDefault="00867BE8"/>
    <w:p w:rsidR="00867BE8" w:rsidRDefault="00867BE8"/>
    <w:p w:rsidR="00867BE8" w:rsidRDefault="00867BE8"/>
    <w:p w:rsidR="00867BE8" w:rsidRDefault="00867BE8"/>
    <w:p w:rsidR="00867BE8" w:rsidRDefault="00867BE8"/>
    <w:p w:rsidR="00867BE8" w:rsidRDefault="00867BE8"/>
    <w:p w:rsidR="00867BE8" w:rsidRDefault="00867BE8"/>
    <w:p w:rsidR="00867BE8" w:rsidRDefault="00867BE8"/>
    <w:p w:rsidR="00867BE8" w:rsidRDefault="00867BE8"/>
    <w:p w:rsidR="002D2DDB" w:rsidRDefault="002D2DDB"/>
    <w:p w:rsidR="002D2DDB" w:rsidRDefault="002D2DDB"/>
    <w:p w:rsidR="002D2DDB" w:rsidRDefault="002D2DDB"/>
    <w:p w:rsidR="00777D97" w:rsidRDefault="002D2DDB" w:rsidP="00777D97">
      <w:pPr>
        <w:pStyle w:val="TOC1"/>
      </w:pPr>
      <w:r>
        <w:t>T</w:t>
      </w:r>
      <w:r w:rsidR="00777D97" w:rsidRPr="000E1E3A">
        <w:t>able of Contents</w:t>
      </w:r>
      <w:r w:rsidR="00777D97">
        <w:t xml:space="preserve"> </w:t>
      </w:r>
    </w:p>
    <w:p w:rsidR="00777D97" w:rsidRPr="009918BA" w:rsidRDefault="00777D97" w:rsidP="00777D97"/>
    <w:p w:rsidR="00C04FB1" w:rsidRDefault="00210C24">
      <w:pPr>
        <w:pStyle w:val="TOC1"/>
        <w:tabs>
          <w:tab w:val="left" w:pos="480"/>
          <w:tab w:val="right" w:leader="dot" w:pos="9350"/>
        </w:tabs>
        <w:rPr>
          <w:rFonts w:asciiTheme="minorHAnsi" w:eastAsiaTheme="minorEastAsia" w:hAnsiTheme="minorHAnsi" w:cstheme="minorBidi"/>
          <w:b w:val="0"/>
          <w:bCs w:val="0"/>
          <w:i w:val="0"/>
          <w:iCs w:val="0"/>
          <w:noProof/>
          <w:sz w:val="22"/>
          <w:szCs w:val="22"/>
        </w:rPr>
      </w:pPr>
      <w:r w:rsidRPr="009918BA">
        <w:rPr>
          <w:sz w:val="24"/>
          <w:szCs w:val="24"/>
        </w:rPr>
        <w:fldChar w:fldCharType="begin"/>
      </w:r>
      <w:r w:rsidR="00777D97" w:rsidRPr="009918BA">
        <w:rPr>
          <w:sz w:val="24"/>
          <w:szCs w:val="24"/>
        </w:rPr>
        <w:instrText xml:space="preserve"> TOC \o "1-2" \h \z \u </w:instrText>
      </w:r>
      <w:r w:rsidRPr="009918BA">
        <w:rPr>
          <w:sz w:val="24"/>
          <w:szCs w:val="24"/>
        </w:rPr>
        <w:fldChar w:fldCharType="separate"/>
      </w:r>
      <w:hyperlink w:anchor="_Toc290505454" w:history="1">
        <w:r w:rsidR="00C04FB1" w:rsidRPr="003E4351">
          <w:rPr>
            <w:rStyle w:val="Hyperlink"/>
            <w:noProof/>
          </w:rPr>
          <w:t>1.</w:t>
        </w:r>
        <w:r w:rsidR="00C04FB1">
          <w:rPr>
            <w:rFonts w:asciiTheme="minorHAnsi" w:eastAsiaTheme="minorEastAsia" w:hAnsiTheme="minorHAnsi" w:cstheme="minorBidi"/>
            <w:b w:val="0"/>
            <w:bCs w:val="0"/>
            <w:i w:val="0"/>
            <w:iCs w:val="0"/>
            <w:noProof/>
            <w:sz w:val="22"/>
            <w:szCs w:val="22"/>
          </w:rPr>
          <w:tab/>
        </w:r>
        <w:r w:rsidR="00C04FB1" w:rsidRPr="003E4351">
          <w:rPr>
            <w:rStyle w:val="Hyperlink"/>
            <w:noProof/>
          </w:rPr>
          <w:t>Introduction</w:t>
        </w:r>
        <w:r w:rsidR="00C04FB1">
          <w:rPr>
            <w:noProof/>
            <w:webHidden/>
          </w:rPr>
          <w:tab/>
        </w:r>
        <w:r>
          <w:rPr>
            <w:noProof/>
            <w:webHidden/>
          </w:rPr>
          <w:fldChar w:fldCharType="begin"/>
        </w:r>
        <w:r w:rsidR="00C04FB1">
          <w:rPr>
            <w:noProof/>
            <w:webHidden/>
          </w:rPr>
          <w:instrText xml:space="preserve"> PAGEREF _Toc290505454 \h </w:instrText>
        </w:r>
        <w:r>
          <w:rPr>
            <w:noProof/>
            <w:webHidden/>
          </w:rPr>
        </w:r>
        <w:r>
          <w:rPr>
            <w:noProof/>
            <w:webHidden/>
          </w:rPr>
          <w:fldChar w:fldCharType="separate"/>
        </w:r>
        <w:r w:rsidR="00C04FB1">
          <w:rPr>
            <w:noProof/>
            <w:webHidden/>
          </w:rPr>
          <w:t>1</w:t>
        </w:r>
        <w:r>
          <w:rPr>
            <w:noProof/>
            <w:webHidden/>
          </w:rPr>
          <w:fldChar w:fldCharType="end"/>
        </w:r>
      </w:hyperlink>
    </w:p>
    <w:p w:rsidR="00C04FB1" w:rsidRDefault="00A92D32">
      <w:pPr>
        <w:pStyle w:val="TOC1"/>
        <w:tabs>
          <w:tab w:val="left" w:pos="720"/>
          <w:tab w:val="right" w:leader="dot" w:pos="9350"/>
        </w:tabs>
        <w:rPr>
          <w:rFonts w:asciiTheme="minorHAnsi" w:eastAsiaTheme="minorEastAsia" w:hAnsiTheme="minorHAnsi" w:cstheme="minorBidi"/>
          <w:b w:val="0"/>
          <w:bCs w:val="0"/>
          <w:i w:val="0"/>
          <w:iCs w:val="0"/>
          <w:noProof/>
          <w:sz w:val="22"/>
          <w:szCs w:val="22"/>
        </w:rPr>
      </w:pPr>
      <w:hyperlink w:anchor="_Toc290505455" w:history="1">
        <w:r w:rsidR="00C04FB1" w:rsidRPr="003E4351">
          <w:rPr>
            <w:rStyle w:val="Hyperlink"/>
            <w:noProof/>
          </w:rPr>
          <w:t>1.1.</w:t>
        </w:r>
        <w:r w:rsidR="00C04FB1">
          <w:rPr>
            <w:rFonts w:asciiTheme="minorHAnsi" w:eastAsiaTheme="minorEastAsia" w:hAnsiTheme="minorHAnsi" w:cstheme="minorBidi"/>
            <w:b w:val="0"/>
            <w:bCs w:val="0"/>
            <w:i w:val="0"/>
            <w:iCs w:val="0"/>
            <w:noProof/>
            <w:sz w:val="22"/>
            <w:szCs w:val="22"/>
          </w:rPr>
          <w:tab/>
        </w:r>
        <w:r w:rsidR="00C04FB1" w:rsidRPr="003E4351">
          <w:rPr>
            <w:rStyle w:val="Hyperlink"/>
            <w:noProof/>
          </w:rPr>
          <w:t>Vision Statement</w:t>
        </w:r>
        <w:r w:rsidR="00C04FB1">
          <w:rPr>
            <w:noProof/>
            <w:webHidden/>
          </w:rPr>
          <w:tab/>
        </w:r>
        <w:r w:rsidR="00210C24">
          <w:rPr>
            <w:noProof/>
            <w:webHidden/>
          </w:rPr>
          <w:fldChar w:fldCharType="begin"/>
        </w:r>
        <w:r w:rsidR="00C04FB1">
          <w:rPr>
            <w:noProof/>
            <w:webHidden/>
          </w:rPr>
          <w:instrText xml:space="preserve"> PAGEREF _Toc290505455 \h </w:instrText>
        </w:r>
        <w:r w:rsidR="00210C24">
          <w:rPr>
            <w:noProof/>
            <w:webHidden/>
          </w:rPr>
        </w:r>
        <w:r w:rsidR="00210C24">
          <w:rPr>
            <w:noProof/>
            <w:webHidden/>
          </w:rPr>
          <w:fldChar w:fldCharType="separate"/>
        </w:r>
        <w:r w:rsidR="00C04FB1">
          <w:rPr>
            <w:noProof/>
            <w:webHidden/>
          </w:rPr>
          <w:t>1</w:t>
        </w:r>
        <w:r w:rsidR="00210C24">
          <w:rPr>
            <w:noProof/>
            <w:webHidden/>
          </w:rPr>
          <w:fldChar w:fldCharType="end"/>
        </w:r>
      </w:hyperlink>
    </w:p>
    <w:p w:rsidR="00C04FB1" w:rsidRDefault="00A92D32">
      <w:pPr>
        <w:pStyle w:val="TOC1"/>
        <w:tabs>
          <w:tab w:val="left" w:pos="720"/>
          <w:tab w:val="right" w:leader="dot" w:pos="9350"/>
        </w:tabs>
        <w:rPr>
          <w:rFonts w:asciiTheme="minorHAnsi" w:eastAsiaTheme="minorEastAsia" w:hAnsiTheme="minorHAnsi" w:cstheme="minorBidi"/>
          <w:b w:val="0"/>
          <w:bCs w:val="0"/>
          <w:i w:val="0"/>
          <w:iCs w:val="0"/>
          <w:noProof/>
          <w:sz w:val="22"/>
          <w:szCs w:val="22"/>
        </w:rPr>
      </w:pPr>
      <w:hyperlink w:anchor="_Toc290505456" w:history="1">
        <w:r w:rsidR="00C04FB1" w:rsidRPr="003E4351">
          <w:rPr>
            <w:rStyle w:val="Hyperlink"/>
            <w:noProof/>
          </w:rPr>
          <w:t>1.2.</w:t>
        </w:r>
        <w:r w:rsidR="00C04FB1">
          <w:rPr>
            <w:rFonts w:asciiTheme="minorHAnsi" w:eastAsiaTheme="minorEastAsia" w:hAnsiTheme="minorHAnsi" w:cstheme="minorBidi"/>
            <w:b w:val="0"/>
            <w:bCs w:val="0"/>
            <w:i w:val="0"/>
            <w:iCs w:val="0"/>
            <w:noProof/>
            <w:sz w:val="22"/>
            <w:szCs w:val="22"/>
          </w:rPr>
          <w:tab/>
        </w:r>
        <w:r w:rsidR="00C04FB1" w:rsidRPr="003E4351">
          <w:rPr>
            <w:rStyle w:val="Hyperlink"/>
            <w:noProof/>
          </w:rPr>
          <w:t>Mission Statement</w:t>
        </w:r>
        <w:r w:rsidR="00C04FB1">
          <w:rPr>
            <w:noProof/>
            <w:webHidden/>
          </w:rPr>
          <w:tab/>
        </w:r>
        <w:r w:rsidR="00210C24">
          <w:rPr>
            <w:noProof/>
            <w:webHidden/>
          </w:rPr>
          <w:fldChar w:fldCharType="begin"/>
        </w:r>
        <w:r w:rsidR="00C04FB1">
          <w:rPr>
            <w:noProof/>
            <w:webHidden/>
          </w:rPr>
          <w:instrText xml:space="preserve"> PAGEREF _Toc290505456 \h </w:instrText>
        </w:r>
        <w:r w:rsidR="00210C24">
          <w:rPr>
            <w:noProof/>
            <w:webHidden/>
          </w:rPr>
        </w:r>
        <w:r w:rsidR="00210C24">
          <w:rPr>
            <w:noProof/>
            <w:webHidden/>
          </w:rPr>
          <w:fldChar w:fldCharType="separate"/>
        </w:r>
        <w:r w:rsidR="00C04FB1">
          <w:rPr>
            <w:noProof/>
            <w:webHidden/>
          </w:rPr>
          <w:t>1</w:t>
        </w:r>
        <w:r w:rsidR="00210C24">
          <w:rPr>
            <w:noProof/>
            <w:webHidden/>
          </w:rPr>
          <w:fldChar w:fldCharType="end"/>
        </w:r>
      </w:hyperlink>
    </w:p>
    <w:p w:rsidR="00C04FB1" w:rsidRDefault="00A92D32">
      <w:pPr>
        <w:pStyle w:val="TOC1"/>
        <w:tabs>
          <w:tab w:val="left" w:pos="720"/>
          <w:tab w:val="right" w:leader="dot" w:pos="9350"/>
        </w:tabs>
        <w:rPr>
          <w:rFonts w:asciiTheme="minorHAnsi" w:eastAsiaTheme="minorEastAsia" w:hAnsiTheme="minorHAnsi" w:cstheme="minorBidi"/>
          <w:b w:val="0"/>
          <w:bCs w:val="0"/>
          <w:i w:val="0"/>
          <w:iCs w:val="0"/>
          <w:noProof/>
          <w:sz w:val="22"/>
          <w:szCs w:val="22"/>
        </w:rPr>
      </w:pPr>
      <w:hyperlink w:anchor="_Toc290505457" w:history="1">
        <w:r w:rsidR="00C04FB1" w:rsidRPr="003E4351">
          <w:rPr>
            <w:rStyle w:val="Hyperlink"/>
            <w:noProof/>
          </w:rPr>
          <w:t>1.3.</w:t>
        </w:r>
        <w:r w:rsidR="00C04FB1">
          <w:rPr>
            <w:rFonts w:asciiTheme="minorHAnsi" w:eastAsiaTheme="minorEastAsia" w:hAnsiTheme="minorHAnsi" w:cstheme="minorBidi"/>
            <w:b w:val="0"/>
            <w:bCs w:val="0"/>
            <w:i w:val="0"/>
            <w:iCs w:val="0"/>
            <w:noProof/>
            <w:sz w:val="22"/>
            <w:szCs w:val="22"/>
          </w:rPr>
          <w:tab/>
        </w:r>
        <w:r w:rsidR="00C04FB1" w:rsidRPr="003E4351">
          <w:rPr>
            <w:rStyle w:val="Hyperlink"/>
            <w:noProof/>
          </w:rPr>
          <w:t>The Pillars of One Adelante</w:t>
        </w:r>
        <w:r w:rsidR="00C04FB1">
          <w:rPr>
            <w:noProof/>
            <w:webHidden/>
          </w:rPr>
          <w:tab/>
        </w:r>
        <w:r w:rsidR="00210C24">
          <w:rPr>
            <w:noProof/>
            <w:webHidden/>
          </w:rPr>
          <w:fldChar w:fldCharType="begin"/>
        </w:r>
        <w:r w:rsidR="00C04FB1">
          <w:rPr>
            <w:noProof/>
            <w:webHidden/>
          </w:rPr>
          <w:instrText xml:space="preserve"> PAGEREF _Toc290505457 \h </w:instrText>
        </w:r>
        <w:r w:rsidR="00210C24">
          <w:rPr>
            <w:noProof/>
            <w:webHidden/>
          </w:rPr>
        </w:r>
        <w:r w:rsidR="00210C24">
          <w:rPr>
            <w:noProof/>
            <w:webHidden/>
          </w:rPr>
          <w:fldChar w:fldCharType="separate"/>
        </w:r>
        <w:r w:rsidR="00C04FB1">
          <w:rPr>
            <w:noProof/>
            <w:webHidden/>
          </w:rPr>
          <w:t>2</w:t>
        </w:r>
        <w:r w:rsidR="00210C24">
          <w:rPr>
            <w:noProof/>
            <w:webHidden/>
          </w:rPr>
          <w:fldChar w:fldCharType="end"/>
        </w:r>
      </w:hyperlink>
    </w:p>
    <w:p w:rsidR="00C04FB1" w:rsidRDefault="00A92D32">
      <w:pPr>
        <w:pStyle w:val="TOC1"/>
        <w:tabs>
          <w:tab w:val="left" w:pos="480"/>
          <w:tab w:val="right" w:leader="dot" w:pos="9350"/>
        </w:tabs>
        <w:rPr>
          <w:rFonts w:asciiTheme="minorHAnsi" w:eastAsiaTheme="minorEastAsia" w:hAnsiTheme="minorHAnsi" w:cstheme="minorBidi"/>
          <w:b w:val="0"/>
          <w:bCs w:val="0"/>
          <w:i w:val="0"/>
          <w:iCs w:val="0"/>
          <w:noProof/>
          <w:sz w:val="22"/>
          <w:szCs w:val="22"/>
        </w:rPr>
      </w:pPr>
      <w:hyperlink w:anchor="_Toc290505458" w:history="1">
        <w:r w:rsidR="00C04FB1" w:rsidRPr="003E4351">
          <w:rPr>
            <w:rStyle w:val="Hyperlink"/>
            <w:noProof/>
          </w:rPr>
          <w:t>2.</w:t>
        </w:r>
        <w:r w:rsidR="00C04FB1">
          <w:rPr>
            <w:rFonts w:asciiTheme="minorHAnsi" w:eastAsiaTheme="minorEastAsia" w:hAnsiTheme="minorHAnsi" w:cstheme="minorBidi"/>
            <w:b w:val="0"/>
            <w:bCs w:val="0"/>
            <w:i w:val="0"/>
            <w:iCs w:val="0"/>
            <w:noProof/>
            <w:sz w:val="22"/>
            <w:szCs w:val="22"/>
          </w:rPr>
          <w:tab/>
        </w:r>
        <w:r w:rsidR="00C04FB1" w:rsidRPr="003E4351">
          <w:rPr>
            <w:rStyle w:val="Hyperlink"/>
            <w:noProof/>
          </w:rPr>
          <w:t>One Adelante Operating Model</w:t>
        </w:r>
        <w:r w:rsidR="00C04FB1">
          <w:rPr>
            <w:noProof/>
            <w:webHidden/>
          </w:rPr>
          <w:tab/>
        </w:r>
        <w:r w:rsidR="00210C24">
          <w:rPr>
            <w:noProof/>
            <w:webHidden/>
          </w:rPr>
          <w:fldChar w:fldCharType="begin"/>
        </w:r>
        <w:r w:rsidR="00C04FB1">
          <w:rPr>
            <w:noProof/>
            <w:webHidden/>
          </w:rPr>
          <w:instrText xml:space="preserve"> PAGEREF _Toc290505458 \h </w:instrText>
        </w:r>
        <w:r w:rsidR="00210C24">
          <w:rPr>
            <w:noProof/>
            <w:webHidden/>
          </w:rPr>
        </w:r>
        <w:r w:rsidR="00210C24">
          <w:rPr>
            <w:noProof/>
            <w:webHidden/>
          </w:rPr>
          <w:fldChar w:fldCharType="separate"/>
        </w:r>
        <w:r w:rsidR="00C04FB1">
          <w:rPr>
            <w:noProof/>
            <w:webHidden/>
          </w:rPr>
          <w:t>4</w:t>
        </w:r>
        <w:r w:rsidR="00210C24">
          <w:rPr>
            <w:noProof/>
            <w:webHidden/>
          </w:rPr>
          <w:fldChar w:fldCharType="end"/>
        </w:r>
      </w:hyperlink>
    </w:p>
    <w:p w:rsidR="00C04FB1" w:rsidRDefault="00A92D32">
      <w:pPr>
        <w:pStyle w:val="TOC1"/>
        <w:tabs>
          <w:tab w:val="left" w:pos="720"/>
          <w:tab w:val="right" w:leader="dot" w:pos="9350"/>
        </w:tabs>
        <w:rPr>
          <w:rFonts w:asciiTheme="minorHAnsi" w:eastAsiaTheme="minorEastAsia" w:hAnsiTheme="minorHAnsi" w:cstheme="minorBidi"/>
          <w:b w:val="0"/>
          <w:bCs w:val="0"/>
          <w:i w:val="0"/>
          <w:iCs w:val="0"/>
          <w:noProof/>
          <w:sz w:val="22"/>
          <w:szCs w:val="22"/>
        </w:rPr>
      </w:pPr>
      <w:hyperlink w:anchor="_Toc290505459" w:history="1">
        <w:r w:rsidR="00C04FB1" w:rsidRPr="003E4351">
          <w:rPr>
            <w:rStyle w:val="Hyperlink"/>
            <w:noProof/>
          </w:rPr>
          <w:t>2.1.</w:t>
        </w:r>
        <w:r w:rsidR="00C04FB1">
          <w:rPr>
            <w:rFonts w:asciiTheme="minorHAnsi" w:eastAsiaTheme="minorEastAsia" w:hAnsiTheme="minorHAnsi" w:cstheme="minorBidi"/>
            <w:b w:val="0"/>
            <w:bCs w:val="0"/>
            <w:i w:val="0"/>
            <w:iCs w:val="0"/>
            <w:noProof/>
            <w:sz w:val="22"/>
            <w:szCs w:val="22"/>
          </w:rPr>
          <w:tab/>
        </w:r>
        <w:r w:rsidR="00C04FB1" w:rsidRPr="003E4351">
          <w:rPr>
            <w:rStyle w:val="Hyperlink"/>
            <w:noProof/>
          </w:rPr>
          <w:t>Operating Model Overview</w:t>
        </w:r>
        <w:r w:rsidR="00C04FB1">
          <w:rPr>
            <w:noProof/>
            <w:webHidden/>
          </w:rPr>
          <w:tab/>
        </w:r>
        <w:r w:rsidR="00210C24">
          <w:rPr>
            <w:noProof/>
            <w:webHidden/>
          </w:rPr>
          <w:fldChar w:fldCharType="begin"/>
        </w:r>
        <w:r w:rsidR="00C04FB1">
          <w:rPr>
            <w:noProof/>
            <w:webHidden/>
          </w:rPr>
          <w:instrText xml:space="preserve"> PAGEREF _Toc290505459 \h </w:instrText>
        </w:r>
        <w:r w:rsidR="00210C24">
          <w:rPr>
            <w:noProof/>
            <w:webHidden/>
          </w:rPr>
        </w:r>
        <w:r w:rsidR="00210C24">
          <w:rPr>
            <w:noProof/>
            <w:webHidden/>
          </w:rPr>
          <w:fldChar w:fldCharType="separate"/>
        </w:r>
        <w:r w:rsidR="00C04FB1">
          <w:rPr>
            <w:noProof/>
            <w:webHidden/>
          </w:rPr>
          <w:t>4</w:t>
        </w:r>
        <w:r w:rsidR="00210C24">
          <w:rPr>
            <w:noProof/>
            <w:webHidden/>
          </w:rPr>
          <w:fldChar w:fldCharType="end"/>
        </w:r>
      </w:hyperlink>
    </w:p>
    <w:p w:rsidR="00C04FB1" w:rsidRDefault="00A92D32">
      <w:pPr>
        <w:pStyle w:val="TOC1"/>
        <w:tabs>
          <w:tab w:val="left" w:pos="960"/>
          <w:tab w:val="right" w:leader="dot" w:pos="9350"/>
        </w:tabs>
        <w:rPr>
          <w:rFonts w:asciiTheme="minorHAnsi" w:eastAsiaTheme="minorEastAsia" w:hAnsiTheme="minorHAnsi" w:cstheme="minorBidi"/>
          <w:b w:val="0"/>
          <w:bCs w:val="0"/>
          <w:i w:val="0"/>
          <w:iCs w:val="0"/>
          <w:noProof/>
          <w:sz w:val="22"/>
          <w:szCs w:val="22"/>
        </w:rPr>
      </w:pPr>
      <w:hyperlink w:anchor="_Toc290505460" w:history="1">
        <w:r w:rsidR="00C04FB1" w:rsidRPr="003E4351">
          <w:rPr>
            <w:rStyle w:val="Hyperlink"/>
            <w:noProof/>
          </w:rPr>
          <w:t>2.1.1.</w:t>
        </w:r>
        <w:r w:rsidR="00C04FB1">
          <w:rPr>
            <w:rFonts w:asciiTheme="minorHAnsi" w:eastAsiaTheme="minorEastAsia" w:hAnsiTheme="minorHAnsi" w:cstheme="minorBidi"/>
            <w:b w:val="0"/>
            <w:bCs w:val="0"/>
            <w:i w:val="0"/>
            <w:iCs w:val="0"/>
            <w:noProof/>
            <w:sz w:val="22"/>
            <w:szCs w:val="22"/>
          </w:rPr>
          <w:tab/>
        </w:r>
        <w:r w:rsidR="00C04FB1" w:rsidRPr="003E4351">
          <w:rPr>
            <w:rStyle w:val="Hyperlink"/>
            <w:noProof/>
          </w:rPr>
          <w:t>Enterprise Organizational Structure</w:t>
        </w:r>
        <w:r w:rsidR="00C04FB1">
          <w:rPr>
            <w:noProof/>
            <w:webHidden/>
          </w:rPr>
          <w:tab/>
        </w:r>
        <w:r w:rsidR="00210C24">
          <w:rPr>
            <w:noProof/>
            <w:webHidden/>
          </w:rPr>
          <w:fldChar w:fldCharType="begin"/>
        </w:r>
        <w:r w:rsidR="00C04FB1">
          <w:rPr>
            <w:noProof/>
            <w:webHidden/>
          </w:rPr>
          <w:instrText xml:space="preserve"> PAGEREF _Toc290505460 \h </w:instrText>
        </w:r>
        <w:r w:rsidR="00210C24">
          <w:rPr>
            <w:noProof/>
            <w:webHidden/>
          </w:rPr>
        </w:r>
        <w:r w:rsidR="00210C24">
          <w:rPr>
            <w:noProof/>
            <w:webHidden/>
          </w:rPr>
          <w:fldChar w:fldCharType="separate"/>
        </w:r>
        <w:r w:rsidR="00C04FB1">
          <w:rPr>
            <w:noProof/>
            <w:webHidden/>
          </w:rPr>
          <w:t>5</w:t>
        </w:r>
        <w:r w:rsidR="00210C24">
          <w:rPr>
            <w:noProof/>
            <w:webHidden/>
          </w:rPr>
          <w:fldChar w:fldCharType="end"/>
        </w:r>
      </w:hyperlink>
    </w:p>
    <w:p w:rsidR="00C04FB1" w:rsidRDefault="00A92D32">
      <w:pPr>
        <w:pStyle w:val="TOC1"/>
        <w:tabs>
          <w:tab w:val="left" w:pos="1200"/>
          <w:tab w:val="right" w:leader="dot" w:pos="9350"/>
        </w:tabs>
        <w:rPr>
          <w:rFonts w:asciiTheme="minorHAnsi" w:eastAsiaTheme="minorEastAsia" w:hAnsiTheme="minorHAnsi" w:cstheme="minorBidi"/>
          <w:b w:val="0"/>
          <w:bCs w:val="0"/>
          <w:i w:val="0"/>
          <w:iCs w:val="0"/>
          <w:noProof/>
          <w:sz w:val="22"/>
          <w:szCs w:val="22"/>
        </w:rPr>
      </w:pPr>
      <w:hyperlink w:anchor="_Toc290505461" w:history="1">
        <w:r w:rsidR="00C04FB1" w:rsidRPr="003E4351">
          <w:rPr>
            <w:rStyle w:val="Hyperlink"/>
            <w:noProof/>
          </w:rPr>
          <w:t>2.1.1.1.</w:t>
        </w:r>
        <w:r w:rsidR="00C04FB1">
          <w:rPr>
            <w:rFonts w:asciiTheme="minorHAnsi" w:eastAsiaTheme="minorEastAsia" w:hAnsiTheme="minorHAnsi" w:cstheme="minorBidi"/>
            <w:b w:val="0"/>
            <w:bCs w:val="0"/>
            <w:i w:val="0"/>
            <w:iCs w:val="0"/>
            <w:noProof/>
            <w:sz w:val="22"/>
            <w:szCs w:val="22"/>
          </w:rPr>
          <w:tab/>
        </w:r>
        <w:r w:rsidR="00C04FB1" w:rsidRPr="003E4351">
          <w:rPr>
            <w:rStyle w:val="Hyperlink"/>
            <w:noProof/>
          </w:rPr>
          <w:t>Elections:</w:t>
        </w:r>
        <w:r w:rsidR="00C04FB1">
          <w:rPr>
            <w:noProof/>
            <w:webHidden/>
          </w:rPr>
          <w:tab/>
        </w:r>
        <w:r w:rsidR="00210C24">
          <w:rPr>
            <w:noProof/>
            <w:webHidden/>
          </w:rPr>
          <w:fldChar w:fldCharType="begin"/>
        </w:r>
        <w:r w:rsidR="00C04FB1">
          <w:rPr>
            <w:noProof/>
            <w:webHidden/>
          </w:rPr>
          <w:instrText xml:space="preserve"> PAGEREF _Toc290505461 \h </w:instrText>
        </w:r>
        <w:r w:rsidR="00210C24">
          <w:rPr>
            <w:noProof/>
            <w:webHidden/>
          </w:rPr>
        </w:r>
        <w:r w:rsidR="00210C24">
          <w:rPr>
            <w:noProof/>
            <w:webHidden/>
          </w:rPr>
          <w:fldChar w:fldCharType="separate"/>
        </w:r>
        <w:r w:rsidR="00C04FB1">
          <w:rPr>
            <w:noProof/>
            <w:webHidden/>
          </w:rPr>
          <w:t>9</w:t>
        </w:r>
        <w:r w:rsidR="00210C24">
          <w:rPr>
            <w:noProof/>
            <w:webHidden/>
          </w:rPr>
          <w:fldChar w:fldCharType="end"/>
        </w:r>
      </w:hyperlink>
    </w:p>
    <w:p w:rsidR="00C04FB1" w:rsidRDefault="00A92D32">
      <w:pPr>
        <w:pStyle w:val="TOC1"/>
        <w:tabs>
          <w:tab w:val="left" w:pos="960"/>
          <w:tab w:val="right" w:leader="dot" w:pos="9350"/>
        </w:tabs>
        <w:rPr>
          <w:rFonts w:asciiTheme="minorHAnsi" w:eastAsiaTheme="minorEastAsia" w:hAnsiTheme="minorHAnsi" w:cstheme="minorBidi"/>
          <w:b w:val="0"/>
          <w:bCs w:val="0"/>
          <w:i w:val="0"/>
          <w:iCs w:val="0"/>
          <w:noProof/>
          <w:sz w:val="22"/>
          <w:szCs w:val="22"/>
        </w:rPr>
      </w:pPr>
      <w:hyperlink w:anchor="_Toc290505462" w:history="1">
        <w:r w:rsidR="00C04FB1" w:rsidRPr="003E4351">
          <w:rPr>
            <w:rStyle w:val="Hyperlink"/>
            <w:noProof/>
          </w:rPr>
          <w:t>2.1.2.</w:t>
        </w:r>
        <w:r w:rsidR="00C04FB1">
          <w:rPr>
            <w:rFonts w:asciiTheme="minorHAnsi" w:eastAsiaTheme="minorEastAsia" w:hAnsiTheme="minorHAnsi" w:cstheme="minorBidi"/>
            <w:b w:val="0"/>
            <w:bCs w:val="0"/>
            <w:i w:val="0"/>
            <w:iCs w:val="0"/>
            <w:noProof/>
            <w:sz w:val="22"/>
            <w:szCs w:val="22"/>
          </w:rPr>
          <w:tab/>
        </w:r>
        <w:r w:rsidR="00C04FB1" w:rsidRPr="003E4351">
          <w:rPr>
            <w:rStyle w:val="Hyperlink"/>
            <w:noProof/>
          </w:rPr>
          <w:t>Sector Organizational Structure</w:t>
        </w:r>
        <w:r w:rsidR="00C04FB1">
          <w:rPr>
            <w:noProof/>
            <w:webHidden/>
          </w:rPr>
          <w:tab/>
        </w:r>
        <w:r w:rsidR="00210C24">
          <w:rPr>
            <w:noProof/>
            <w:webHidden/>
          </w:rPr>
          <w:fldChar w:fldCharType="begin"/>
        </w:r>
        <w:r w:rsidR="00C04FB1">
          <w:rPr>
            <w:noProof/>
            <w:webHidden/>
          </w:rPr>
          <w:instrText xml:space="preserve"> PAGEREF _Toc290505462 \h </w:instrText>
        </w:r>
        <w:r w:rsidR="00210C24">
          <w:rPr>
            <w:noProof/>
            <w:webHidden/>
          </w:rPr>
        </w:r>
        <w:r w:rsidR="00210C24">
          <w:rPr>
            <w:noProof/>
            <w:webHidden/>
          </w:rPr>
          <w:fldChar w:fldCharType="separate"/>
        </w:r>
        <w:r w:rsidR="00C04FB1">
          <w:rPr>
            <w:noProof/>
            <w:webHidden/>
          </w:rPr>
          <w:t>9</w:t>
        </w:r>
        <w:r w:rsidR="00210C24">
          <w:rPr>
            <w:noProof/>
            <w:webHidden/>
          </w:rPr>
          <w:fldChar w:fldCharType="end"/>
        </w:r>
      </w:hyperlink>
    </w:p>
    <w:p w:rsidR="00C04FB1" w:rsidRDefault="00A92D32">
      <w:pPr>
        <w:pStyle w:val="TOC1"/>
        <w:tabs>
          <w:tab w:val="left" w:pos="960"/>
          <w:tab w:val="right" w:leader="dot" w:pos="9350"/>
        </w:tabs>
        <w:rPr>
          <w:rFonts w:asciiTheme="minorHAnsi" w:eastAsiaTheme="minorEastAsia" w:hAnsiTheme="minorHAnsi" w:cstheme="minorBidi"/>
          <w:b w:val="0"/>
          <w:bCs w:val="0"/>
          <w:i w:val="0"/>
          <w:iCs w:val="0"/>
          <w:noProof/>
          <w:sz w:val="22"/>
          <w:szCs w:val="22"/>
        </w:rPr>
      </w:pPr>
      <w:hyperlink w:anchor="_Toc290505463" w:history="1">
        <w:r w:rsidR="00C04FB1" w:rsidRPr="003E4351">
          <w:rPr>
            <w:rStyle w:val="Hyperlink"/>
            <w:noProof/>
          </w:rPr>
          <w:t>2.1.3.</w:t>
        </w:r>
        <w:r w:rsidR="00C04FB1">
          <w:rPr>
            <w:rFonts w:asciiTheme="minorHAnsi" w:eastAsiaTheme="minorEastAsia" w:hAnsiTheme="minorHAnsi" w:cstheme="minorBidi"/>
            <w:b w:val="0"/>
            <w:bCs w:val="0"/>
            <w:i w:val="0"/>
            <w:iCs w:val="0"/>
            <w:noProof/>
            <w:sz w:val="22"/>
            <w:szCs w:val="22"/>
          </w:rPr>
          <w:tab/>
        </w:r>
        <w:r w:rsidR="00C04FB1" w:rsidRPr="003E4351">
          <w:rPr>
            <w:rStyle w:val="Hyperlink"/>
            <w:noProof/>
          </w:rPr>
          <w:t>Campus/Region Organizational Structure</w:t>
        </w:r>
        <w:r w:rsidR="00C04FB1">
          <w:rPr>
            <w:noProof/>
            <w:webHidden/>
          </w:rPr>
          <w:tab/>
        </w:r>
        <w:r w:rsidR="00210C24">
          <w:rPr>
            <w:noProof/>
            <w:webHidden/>
          </w:rPr>
          <w:fldChar w:fldCharType="begin"/>
        </w:r>
        <w:r w:rsidR="00C04FB1">
          <w:rPr>
            <w:noProof/>
            <w:webHidden/>
          </w:rPr>
          <w:instrText xml:space="preserve"> PAGEREF _Toc290505463 \h </w:instrText>
        </w:r>
        <w:r w:rsidR="00210C24">
          <w:rPr>
            <w:noProof/>
            <w:webHidden/>
          </w:rPr>
        </w:r>
        <w:r w:rsidR="00210C24">
          <w:rPr>
            <w:noProof/>
            <w:webHidden/>
          </w:rPr>
          <w:fldChar w:fldCharType="separate"/>
        </w:r>
        <w:r w:rsidR="00C04FB1">
          <w:rPr>
            <w:noProof/>
            <w:webHidden/>
          </w:rPr>
          <w:t>10</w:t>
        </w:r>
        <w:r w:rsidR="00210C24">
          <w:rPr>
            <w:noProof/>
            <w:webHidden/>
          </w:rPr>
          <w:fldChar w:fldCharType="end"/>
        </w:r>
      </w:hyperlink>
    </w:p>
    <w:p w:rsidR="00C04FB1" w:rsidRDefault="00A92D32">
      <w:pPr>
        <w:pStyle w:val="TOC1"/>
        <w:tabs>
          <w:tab w:val="left" w:pos="480"/>
          <w:tab w:val="right" w:leader="dot" w:pos="9350"/>
        </w:tabs>
        <w:rPr>
          <w:rFonts w:asciiTheme="minorHAnsi" w:eastAsiaTheme="minorEastAsia" w:hAnsiTheme="minorHAnsi" w:cstheme="minorBidi"/>
          <w:b w:val="0"/>
          <w:bCs w:val="0"/>
          <w:i w:val="0"/>
          <w:iCs w:val="0"/>
          <w:noProof/>
          <w:sz w:val="22"/>
          <w:szCs w:val="22"/>
        </w:rPr>
      </w:pPr>
      <w:hyperlink w:anchor="_Toc290505464" w:history="1">
        <w:r w:rsidR="00C04FB1" w:rsidRPr="003E4351">
          <w:rPr>
            <w:rStyle w:val="Hyperlink"/>
            <w:noProof/>
          </w:rPr>
          <w:t>3.</w:t>
        </w:r>
        <w:r w:rsidR="00C04FB1">
          <w:rPr>
            <w:rFonts w:asciiTheme="minorHAnsi" w:eastAsiaTheme="minorEastAsia" w:hAnsiTheme="minorHAnsi" w:cstheme="minorBidi"/>
            <w:b w:val="0"/>
            <w:bCs w:val="0"/>
            <w:i w:val="0"/>
            <w:iCs w:val="0"/>
            <w:noProof/>
            <w:sz w:val="22"/>
            <w:szCs w:val="22"/>
          </w:rPr>
          <w:tab/>
        </w:r>
        <w:r w:rsidR="00C04FB1" w:rsidRPr="003E4351">
          <w:rPr>
            <w:rStyle w:val="Hyperlink"/>
            <w:noProof/>
          </w:rPr>
          <w:t>Program Elements/Components</w:t>
        </w:r>
        <w:r w:rsidR="00C04FB1">
          <w:rPr>
            <w:noProof/>
            <w:webHidden/>
          </w:rPr>
          <w:tab/>
        </w:r>
        <w:r w:rsidR="00210C24">
          <w:rPr>
            <w:noProof/>
            <w:webHidden/>
          </w:rPr>
          <w:fldChar w:fldCharType="begin"/>
        </w:r>
        <w:r w:rsidR="00C04FB1">
          <w:rPr>
            <w:noProof/>
            <w:webHidden/>
          </w:rPr>
          <w:instrText xml:space="preserve"> PAGEREF _Toc290505464 \h </w:instrText>
        </w:r>
        <w:r w:rsidR="00210C24">
          <w:rPr>
            <w:noProof/>
            <w:webHidden/>
          </w:rPr>
        </w:r>
        <w:r w:rsidR="00210C24">
          <w:rPr>
            <w:noProof/>
            <w:webHidden/>
          </w:rPr>
          <w:fldChar w:fldCharType="separate"/>
        </w:r>
        <w:r w:rsidR="00C04FB1">
          <w:rPr>
            <w:noProof/>
            <w:webHidden/>
          </w:rPr>
          <w:t>12</w:t>
        </w:r>
        <w:r w:rsidR="00210C24">
          <w:rPr>
            <w:noProof/>
            <w:webHidden/>
          </w:rPr>
          <w:fldChar w:fldCharType="end"/>
        </w:r>
      </w:hyperlink>
    </w:p>
    <w:p w:rsidR="00C04FB1" w:rsidRDefault="00A92D32">
      <w:pPr>
        <w:pStyle w:val="TOC1"/>
        <w:tabs>
          <w:tab w:val="left" w:pos="720"/>
          <w:tab w:val="right" w:leader="dot" w:pos="9350"/>
        </w:tabs>
        <w:rPr>
          <w:rFonts w:asciiTheme="minorHAnsi" w:eastAsiaTheme="minorEastAsia" w:hAnsiTheme="minorHAnsi" w:cstheme="minorBidi"/>
          <w:b w:val="0"/>
          <w:bCs w:val="0"/>
          <w:i w:val="0"/>
          <w:iCs w:val="0"/>
          <w:noProof/>
          <w:sz w:val="22"/>
          <w:szCs w:val="22"/>
        </w:rPr>
      </w:pPr>
      <w:hyperlink w:anchor="_Toc290505465" w:history="1">
        <w:r w:rsidR="00C04FB1" w:rsidRPr="003E4351">
          <w:rPr>
            <w:rStyle w:val="Hyperlink"/>
            <w:noProof/>
          </w:rPr>
          <w:t>3.1.</w:t>
        </w:r>
        <w:r w:rsidR="00C04FB1">
          <w:rPr>
            <w:rFonts w:asciiTheme="minorHAnsi" w:eastAsiaTheme="minorEastAsia" w:hAnsiTheme="minorHAnsi" w:cstheme="minorBidi"/>
            <w:b w:val="0"/>
            <w:bCs w:val="0"/>
            <w:i w:val="0"/>
            <w:iCs w:val="0"/>
            <w:noProof/>
            <w:sz w:val="22"/>
            <w:szCs w:val="22"/>
          </w:rPr>
          <w:tab/>
        </w:r>
        <w:r w:rsidR="00C04FB1" w:rsidRPr="003E4351">
          <w:rPr>
            <w:rStyle w:val="Hyperlink"/>
            <w:noProof/>
          </w:rPr>
          <w:t>Events</w:t>
        </w:r>
        <w:r w:rsidR="00C04FB1">
          <w:rPr>
            <w:noProof/>
            <w:webHidden/>
          </w:rPr>
          <w:tab/>
        </w:r>
        <w:r w:rsidR="00210C24">
          <w:rPr>
            <w:noProof/>
            <w:webHidden/>
          </w:rPr>
          <w:fldChar w:fldCharType="begin"/>
        </w:r>
        <w:r w:rsidR="00C04FB1">
          <w:rPr>
            <w:noProof/>
            <w:webHidden/>
          </w:rPr>
          <w:instrText xml:space="preserve"> PAGEREF _Toc290505465 \h </w:instrText>
        </w:r>
        <w:r w:rsidR="00210C24">
          <w:rPr>
            <w:noProof/>
            <w:webHidden/>
          </w:rPr>
        </w:r>
        <w:r w:rsidR="00210C24">
          <w:rPr>
            <w:noProof/>
            <w:webHidden/>
          </w:rPr>
          <w:fldChar w:fldCharType="separate"/>
        </w:r>
        <w:r w:rsidR="00C04FB1">
          <w:rPr>
            <w:noProof/>
            <w:webHidden/>
          </w:rPr>
          <w:t>12</w:t>
        </w:r>
        <w:r w:rsidR="00210C24">
          <w:rPr>
            <w:noProof/>
            <w:webHidden/>
          </w:rPr>
          <w:fldChar w:fldCharType="end"/>
        </w:r>
      </w:hyperlink>
    </w:p>
    <w:p w:rsidR="00C04FB1" w:rsidRDefault="00A92D32">
      <w:pPr>
        <w:pStyle w:val="TOC1"/>
        <w:tabs>
          <w:tab w:val="left" w:pos="720"/>
          <w:tab w:val="right" w:leader="dot" w:pos="9350"/>
        </w:tabs>
        <w:rPr>
          <w:rFonts w:asciiTheme="minorHAnsi" w:eastAsiaTheme="minorEastAsia" w:hAnsiTheme="minorHAnsi" w:cstheme="minorBidi"/>
          <w:b w:val="0"/>
          <w:bCs w:val="0"/>
          <w:i w:val="0"/>
          <w:iCs w:val="0"/>
          <w:noProof/>
          <w:sz w:val="22"/>
          <w:szCs w:val="22"/>
        </w:rPr>
      </w:pPr>
      <w:hyperlink w:anchor="_Toc290505466" w:history="1">
        <w:r w:rsidR="00C04FB1" w:rsidRPr="003E4351">
          <w:rPr>
            <w:rStyle w:val="Hyperlink"/>
            <w:noProof/>
          </w:rPr>
          <w:t>3.2.</w:t>
        </w:r>
        <w:r w:rsidR="00C04FB1">
          <w:rPr>
            <w:rFonts w:asciiTheme="minorHAnsi" w:eastAsiaTheme="minorEastAsia" w:hAnsiTheme="minorHAnsi" w:cstheme="minorBidi"/>
            <w:b w:val="0"/>
            <w:bCs w:val="0"/>
            <w:i w:val="0"/>
            <w:iCs w:val="0"/>
            <w:noProof/>
            <w:sz w:val="22"/>
            <w:szCs w:val="22"/>
          </w:rPr>
          <w:tab/>
        </w:r>
        <w:r w:rsidR="00C04FB1" w:rsidRPr="003E4351">
          <w:rPr>
            <w:rStyle w:val="Hyperlink"/>
            <w:noProof/>
          </w:rPr>
          <w:t>Common Branding and Collateral</w:t>
        </w:r>
        <w:r w:rsidR="00C04FB1">
          <w:rPr>
            <w:noProof/>
            <w:webHidden/>
          </w:rPr>
          <w:tab/>
        </w:r>
        <w:r w:rsidR="00210C24">
          <w:rPr>
            <w:noProof/>
            <w:webHidden/>
          </w:rPr>
          <w:fldChar w:fldCharType="begin"/>
        </w:r>
        <w:r w:rsidR="00C04FB1">
          <w:rPr>
            <w:noProof/>
            <w:webHidden/>
          </w:rPr>
          <w:instrText xml:space="preserve"> PAGEREF _Toc290505466 \h </w:instrText>
        </w:r>
        <w:r w:rsidR="00210C24">
          <w:rPr>
            <w:noProof/>
            <w:webHidden/>
          </w:rPr>
        </w:r>
        <w:r w:rsidR="00210C24">
          <w:rPr>
            <w:noProof/>
            <w:webHidden/>
          </w:rPr>
          <w:fldChar w:fldCharType="separate"/>
        </w:r>
        <w:r w:rsidR="00C04FB1">
          <w:rPr>
            <w:noProof/>
            <w:webHidden/>
          </w:rPr>
          <w:t>12</w:t>
        </w:r>
        <w:r w:rsidR="00210C24">
          <w:rPr>
            <w:noProof/>
            <w:webHidden/>
          </w:rPr>
          <w:fldChar w:fldCharType="end"/>
        </w:r>
      </w:hyperlink>
    </w:p>
    <w:p w:rsidR="00C04FB1" w:rsidRDefault="00A92D32">
      <w:pPr>
        <w:pStyle w:val="TOC1"/>
        <w:tabs>
          <w:tab w:val="left" w:pos="720"/>
          <w:tab w:val="right" w:leader="dot" w:pos="9350"/>
        </w:tabs>
        <w:rPr>
          <w:rFonts w:asciiTheme="minorHAnsi" w:eastAsiaTheme="minorEastAsia" w:hAnsiTheme="minorHAnsi" w:cstheme="minorBidi"/>
          <w:b w:val="0"/>
          <w:bCs w:val="0"/>
          <w:i w:val="0"/>
          <w:iCs w:val="0"/>
          <w:noProof/>
          <w:sz w:val="22"/>
          <w:szCs w:val="22"/>
        </w:rPr>
      </w:pPr>
      <w:hyperlink w:anchor="_Toc290505467" w:history="1">
        <w:r w:rsidR="00C04FB1" w:rsidRPr="003E4351">
          <w:rPr>
            <w:rStyle w:val="Hyperlink"/>
            <w:noProof/>
          </w:rPr>
          <w:t>3.3.</w:t>
        </w:r>
        <w:r w:rsidR="00C04FB1">
          <w:rPr>
            <w:rFonts w:asciiTheme="minorHAnsi" w:eastAsiaTheme="minorEastAsia" w:hAnsiTheme="minorHAnsi" w:cstheme="minorBidi"/>
            <w:b w:val="0"/>
            <w:bCs w:val="0"/>
            <w:i w:val="0"/>
            <w:iCs w:val="0"/>
            <w:noProof/>
            <w:sz w:val="22"/>
            <w:szCs w:val="22"/>
          </w:rPr>
          <w:tab/>
        </w:r>
        <w:r w:rsidR="00C04FB1" w:rsidRPr="003E4351">
          <w:rPr>
            <w:rStyle w:val="Hyperlink"/>
            <w:noProof/>
          </w:rPr>
          <w:t>Metrics</w:t>
        </w:r>
        <w:r w:rsidR="00C04FB1">
          <w:rPr>
            <w:noProof/>
            <w:webHidden/>
          </w:rPr>
          <w:tab/>
        </w:r>
        <w:r w:rsidR="00210C24">
          <w:rPr>
            <w:noProof/>
            <w:webHidden/>
          </w:rPr>
          <w:fldChar w:fldCharType="begin"/>
        </w:r>
        <w:r w:rsidR="00C04FB1">
          <w:rPr>
            <w:noProof/>
            <w:webHidden/>
          </w:rPr>
          <w:instrText xml:space="preserve"> PAGEREF _Toc290505467 \h </w:instrText>
        </w:r>
        <w:r w:rsidR="00210C24">
          <w:rPr>
            <w:noProof/>
            <w:webHidden/>
          </w:rPr>
        </w:r>
        <w:r w:rsidR="00210C24">
          <w:rPr>
            <w:noProof/>
            <w:webHidden/>
          </w:rPr>
          <w:fldChar w:fldCharType="separate"/>
        </w:r>
        <w:r w:rsidR="00C04FB1">
          <w:rPr>
            <w:noProof/>
            <w:webHidden/>
          </w:rPr>
          <w:t>12</w:t>
        </w:r>
        <w:r w:rsidR="00210C24">
          <w:rPr>
            <w:noProof/>
            <w:webHidden/>
          </w:rPr>
          <w:fldChar w:fldCharType="end"/>
        </w:r>
      </w:hyperlink>
    </w:p>
    <w:p w:rsidR="00C04FB1" w:rsidRDefault="00A92D32">
      <w:pPr>
        <w:pStyle w:val="TOC1"/>
        <w:tabs>
          <w:tab w:val="left" w:pos="720"/>
          <w:tab w:val="right" w:leader="dot" w:pos="9350"/>
        </w:tabs>
        <w:rPr>
          <w:rFonts w:asciiTheme="minorHAnsi" w:eastAsiaTheme="minorEastAsia" w:hAnsiTheme="minorHAnsi" w:cstheme="minorBidi"/>
          <w:b w:val="0"/>
          <w:bCs w:val="0"/>
          <w:i w:val="0"/>
          <w:iCs w:val="0"/>
          <w:noProof/>
          <w:sz w:val="22"/>
          <w:szCs w:val="22"/>
        </w:rPr>
      </w:pPr>
      <w:hyperlink w:anchor="_Toc290505468" w:history="1">
        <w:r w:rsidR="00C04FB1" w:rsidRPr="003E4351">
          <w:rPr>
            <w:rStyle w:val="Hyperlink"/>
            <w:noProof/>
          </w:rPr>
          <w:t>3.4.</w:t>
        </w:r>
        <w:r w:rsidR="00C04FB1">
          <w:rPr>
            <w:rFonts w:asciiTheme="minorHAnsi" w:eastAsiaTheme="minorEastAsia" w:hAnsiTheme="minorHAnsi" w:cstheme="minorBidi"/>
            <w:b w:val="0"/>
            <w:bCs w:val="0"/>
            <w:i w:val="0"/>
            <w:iCs w:val="0"/>
            <w:noProof/>
            <w:sz w:val="22"/>
            <w:szCs w:val="22"/>
          </w:rPr>
          <w:tab/>
        </w:r>
        <w:r w:rsidR="00C04FB1" w:rsidRPr="003E4351">
          <w:rPr>
            <w:rStyle w:val="Hyperlink"/>
            <w:noProof/>
          </w:rPr>
          <w:t>Communication</w:t>
        </w:r>
        <w:r w:rsidR="00C04FB1">
          <w:rPr>
            <w:noProof/>
            <w:webHidden/>
          </w:rPr>
          <w:tab/>
        </w:r>
        <w:r w:rsidR="00210C24">
          <w:rPr>
            <w:noProof/>
            <w:webHidden/>
          </w:rPr>
          <w:fldChar w:fldCharType="begin"/>
        </w:r>
        <w:r w:rsidR="00C04FB1">
          <w:rPr>
            <w:noProof/>
            <w:webHidden/>
          </w:rPr>
          <w:instrText xml:space="preserve"> PAGEREF _Toc290505468 \h </w:instrText>
        </w:r>
        <w:r w:rsidR="00210C24">
          <w:rPr>
            <w:noProof/>
            <w:webHidden/>
          </w:rPr>
        </w:r>
        <w:r w:rsidR="00210C24">
          <w:rPr>
            <w:noProof/>
            <w:webHidden/>
          </w:rPr>
          <w:fldChar w:fldCharType="separate"/>
        </w:r>
        <w:r w:rsidR="00C04FB1">
          <w:rPr>
            <w:noProof/>
            <w:webHidden/>
          </w:rPr>
          <w:t>13</w:t>
        </w:r>
        <w:r w:rsidR="00210C24">
          <w:rPr>
            <w:noProof/>
            <w:webHidden/>
          </w:rPr>
          <w:fldChar w:fldCharType="end"/>
        </w:r>
      </w:hyperlink>
    </w:p>
    <w:p w:rsidR="00C04FB1" w:rsidRDefault="00A92D32">
      <w:pPr>
        <w:pStyle w:val="TOC1"/>
        <w:tabs>
          <w:tab w:val="left" w:pos="480"/>
          <w:tab w:val="right" w:leader="dot" w:pos="9350"/>
        </w:tabs>
        <w:rPr>
          <w:rFonts w:asciiTheme="minorHAnsi" w:eastAsiaTheme="minorEastAsia" w:hAnsiTheme="minorHAnsi" w:cstheme="minorBidi"/>
          <w:b w:val="0"/>
          <w:bCs w:val="0"/>
          <w:i w:val="0"/>
          <w:iCs w:val="0"/>
          <w:noProof/>
          <w:sz w:val="22"/>
          <w:szCs w:val="22"/>
        </w:rPr>
      </w:pPr>
      <w:hyperlink w:anchor="_Toc290505469" w:history="1">
        <w:r w:rsidR="00C04FB1" w:rsidRPr="003E4351">
          <w:rPr>
            <w:rStyle w:val="Hyperlink"/>
            <w:noProof/>
          </w:rPr>
          <w:t>4.</w:t>
        </w:r>
        <w:r w:rsidR="00C04FB1">
          <w:rPr>
            <w:rFonts w:asciiTheme="minorHAnsi" w:eastAsiaTheme="minorEastAsia" w:hAnsiTheme="minorHAnsi" w:cstheme="minorBidi"/>
            <w:b w:val="0"/>
            <w:bCs w:val="0"/>
            <w:i w:val="0"/>
            <w:iCs w:val="0"/>
            <w:noProof/>
            <w:sz w:val="22"/>
            <w:szCs w:val="22"/>
          </w:rPr>
          <w:tab/>
        </w:r>
        <w:r w:rsidR="00C04FB1" w:rsidRPr="003E4351">
          <w:rPr>
            <w:rStyle w:val="Hyperlink"/>
            <w:noProof/>
          </w:rPr>
          <w:t>Administrative Resources</w:t>
        </w:r>
        <w:r w:rsidR="00C04FB1">
          <w:rPr>
            <w:noProof/>
            <w:webHidden/>
          </w:rPr>
          <w:tab/>
        </w:r>
        <w:r w:rsidR="00210C24">
          <w:rPr>
            <w:noProof/>
            <w:webHidden/>
          </w:rPr>
          <w:fldChar w:fldCharType="begin"/>
        </w:r>
        <w:r w:rsidR="00C04FB1">
          <w:rPr>
            <w:noProof/>
            <w:webHidden/>
          </w:rPr>
          <w:instrText xml:space="preserve"> PAGEREF _Toc290505469 \h </w:instrText>
        </w:r>
        <w:r w:rsidR="00210C24">
          <w:rPr>
            <w:noProof/>
            <w:webHidden/>
          </w:rPr>
        </w:r>
        <w:r w:rsidR="00210C24">
          <w:rPr>
            <w:noProof/>
            <w:webHidden/>
          </w:rPr>
          <w:fldChar w:fldCharType="separate"/>
        </w:r>
        <w:r w:rsidR="00C04FB1">
          <w:rPr>
            <w:noProof/>
            <w:webHidden/>
          </w:rPr>
          <w:t>13</w:t>
        </w:r>
        <w:r w:rsidR="00210C24">
          <w:rPr>
            <w:noProof/>
            <w:webHidden/>
          </w:rPr>
          <w:fldChar w:fldCharType="end"/>
        </w:r>
      </w:hyperlink>
    </w:p>
    <w:p w:rsidR="00C04FB1" w:rsidRDefault="00A92D32">
      <w:pPr>
        <w:pStyle w:val="TOC1"/>
        <w:tabs>
          <w:tab w:val="left" w:pos="720"/>
          <w:tab w:val="right" w:leader="dot" w:pos="9350"/>
        </w:tabs>
        <w:rPr>
          <w:rFonts w:asciiTheme="minorHAnsi" w:eastAsiaTheme="minorEastAsia" w:hAnsiTheme="minorHAnsi" w:cstheme="minorBidi"/>
          <w:b w:val="0"/>
          <w:bCs w:val="0"/>
          <w:i w:val="0"/>
          <w:iCs w:val="0"/>
          <w:noProof/>
          <w:sz w:val="22"/>
          <w:szCs w:val="22"/>
        </w:rPr>
      </w:pPr>
      <w:hyperlink w:anchor="_Toc290505470" w:history="1">
        <w:r w:rsidR="00C04FB1" w:rsidRPr="003E4351">
          <w:rPr>
            <w:rStyle w:val="Hyperlink"/>
            <w:noProof/>
          </w:rPr>
          <w:t>4.1.</w:t>
        </w:r>
        <w:r w:rsidR="00C04FB1">
          <w:rPr>
            <w:rFonts w:asciiTheme="minorHAnsi" w:eastAsiaTheme="minorEastAsia" w:hAnsiTheme="minorHAnsi" w:cstheme="minorBidi"/>
            <w:b w:val="0"/>
            <w:bCs w:val="0"/>
            <w:i w:val="0"/>
            <w:iCs w:val="0"/>
            <w:noProof/>
            <w:sz w:val="22"/>
            <w:szCs w:val="22"/>
          </w:rPr>
          <w:tab/>
        </w:r>
        <w:r w:rsidR="00C04FB1" w:rsidRPr="003E4351">
          <w:rPr>
            <w:rStyle w:val="Hyperlink"/>
            <w:noProof/>
          </w:rPr>
          <w:t>Documentation</w:t>
        </w:r>
        <w:r w:rsidR="00C04FB1">
          <w:rPr>
            <w:noProof/>
            <w:webHidden/>
          </w:rPr>
          <w:tab/>
        </w:r>
        <w:r w:rsidR="00210C24">
          <w:rPr>
            <w:noProof/>
            <w:webHidden/>
          </w:rPr>
          <w:fldChar w:fldCharType="begin"/>
        </w:r>
        <w:r w:rsidR="00C04FB1">
          <w:rPr>
            <w:noProof/>
            <w:webHidden/>
          </w:rPr>
          <w:instrText xml:space="preserve"> PAGEREF _Toc290505470 \h </w:instrText>
        </w:r>
        <w:r w:rsidR="00210C24">
          <w:rPr>
            <w:noProof/>
            <w:webHidden/>
          </w:rPr>
        </w:r>
        <w:r w:rsidR="00210C24">
          <w:rPr>
            <w:noProof/>
            <w:webHidden/>
          </w:rPr>
          <w:fldChar w:fldCharType="separate"/>
        </w:r>
        <w:r w:rsidR="00C04FB1">
          <w:rPr>
            <w:noProof/>
            <w:webHidden/>
          </w:rPr>
          <w:t>13</w:t>
        </w:r>
        <w:r w:rsidR="00210C24">
          <w:rPr>
            <w:noProof/>
            <w:webHidden/>
          </w:rPr>
          <w:fldChar w:fldCharType="end"/>
        </w:r>
      </w:hyperlink>
    </w:p>
    <w:p w:rsidR="00C04FB1" w:rsidRDefault="00A92D32">
      <w:pPr>
        <w:pStyle w:val="TOC1"/>
        <w:tabs>
          <w:tab w:val="left" w:pos="720"/>
          <w:tab w:val="right" w:leader="dot" w:pos="9350"/>
        </w:tabs>
        <w:rPr>
          <w:rFonts w:asciiTheme="minorHAnsi" w:eastAsiaTheme="minorEastAsia" w:hAnsiTheme="minorHAnsi" w:cstheme="minorBidi"/>
          <w:b w:val="0"/>
          <w:bCs w:val="0"/>
          <w:i w:val="0"/>
          <w:iCs w:val="0"/>
          <w:noProof/>
          <w:sz w:val="22"/>
          <w:szCs w:val="22"/>
        </w:rPr>
      </w:pPr>
      <w:hyperlink w:anchor="_Toc290505471" w:history="1">
        <w:r w:rsidR="00C04FB1" w:rsidRPr="003E4351">
          <w:rPr>
            <w:rStyle w:val="Hyperlink"/>
            <w:noProof/>
          </w:rPr>
          <w:t>4.2.</w:t>
        </w:r>
        <w:r w:rsidR="00C04FB1">
          <w:rPr>
            <w:rFonts w:asciiTheme="minorHAnsi" w:eastAsiaTheme="minorEastAsia" w:hAnsiTheme="minorHAnsi" w:cstheme="minorBidi"/>
            <w:b w:val="0"/>
            <w:bCs w:val="0"/>
            <w:i w:val="0"/>
            <w:iCs w:val="0"/>
            <w:noProof/>
            <w:sz w:val="22"/>
            <w:szCs w:val="22"/>
          </w:rPr>
          <w:tab/>
        </w:r>
        <w:r w:rsidR="00C04FB1" w:rsidRPr="003E4351">
          <w:rPr>
            <w:rStyle w:val="Hyperlink"/>
            <w:noProof/>
          </w:rPr>
          <w:t>Roster</w:t>
        </w:r>
        <w:r w:rsidR="00C04FB1">
          <w:rPr>
            <w:noProof/>
            <w:webHidden/>
          </w:rPr>
          <w:tab/>
        </w:r>
        <w:r w:rsidR="00210C24">
          <w:rPr>
            <w:noProof/>
            <w:webHidden/>
          </w:rPr>
          <w:fldChar w:fldCharType="begin"/>
        </w:r>
        <w:r w:rsidR="00C04FB1">
          <w:rPr>
            <w:noProof/>
            <w:webHidden/>
          </w:rPr>
          <w:instrText xml:space="preserve"> PAGEREF _Toc290505471 \h </w:instrText>
        </w:r>
        <w:r w:rsidR="00210C24">
          <w:rPr>
            <w:noProof/>
            <w:webHidden/>
          </w:rPr>
        </w:r>
        <w:r w:rsidR="00210C24">
          <w:rPr>
            <w:noProof/>
            <w:webHidden/>
          </w:rPr>
          <w:fldChar w:fldCharType="separate"/>
        </w:r>
        <w:r w:rsidR="00C04FB1">
          <w:rPr>
            <w:noProof/>
            <w:webHidden/>
          </w:rPr>
          <w:t>13</w:t>
        </w:r>
        <w:r w:rsidR="00210C24">
          <w:rPr>
            <w:noProof/>
            <w:webHidden/>
          </w:rPr>
          <w:fldChar w:fldCharType="end"/>
        </w:r>
      </w:hyperlink>
    </w:p>
    <w:p w:rsidR="00C04FB1" w:rsidRDefault="00A92D32">
      <w:pPr>
        <w:pStyle w:val="TOC1"/>
        <w:tabs>
          <w:tab w:val="left" w:pos="720"/>
          <w:tab w:val="right" w:leader="dot" w:pos="9350"/>
        </w:tabs>
        <w:rPr>
          <w:rFonts w:asciiTheme="minorHAnsi" w:eastAsiaTheme="minorEastAsia" w:hAnsiTheme="minorHAnsi" w:cstheme="minorBidi"/>
          <w:b w:val="0"/>
          <w:bCs w:val="0"/>
          <w:i w:val="0"/>
          <w:iCs w:val="0"/>
          <w:noProof/>
          <w:sz w:val="22"/>
          <w:szCs w:val="22"/>
        </w:rPr>
      </w:pPr>
      <w:hyperlink w:anchor="_Toc290505472" w:history="1">
        <w:r w:rsidR="00C04FB1" w:rsidRPr="003E4351">
          <w:rPr>
            <w:rStyle w:val="Hyperlink"/>
            <w:noProof/>
          </w:rPr>
          <w:t>4.3.</w:t>
        </w:r>
        <w:r w:rsidR="00C04FB1">
          <w:rPr>
            <w:rFonts w:asciiTheme="minorHAnsi" w:eastAsiaTheme="minorEastAsia" w:hAnsiTheme="minorHAnsi" w:cstheme="minorBidi"/>
            <w:b w:val="0"/>
            <w:bCs w:val="0"/>
            <w:i w:val="0"/>
            <w:iCs w:val="0"/>
            <w:noProof/>
            <w:sz w:val="22"/>
            <w:szCs w:val="22"/>
          </w:rPr>
          <w:tab/>
        </w:r>
        <w:r w:rsidR="00C04FB1" w:rsidRPr="003E4351">
          <w:rPr>
            <w:rStyle w:val="Hyperlink"/>
            <w:noProof/>
          </w:rPr>
          <w:t>Compliance</w:t>
        </w:r>
        <w:r w:rsidR="00C04FB1">
          <w:rPr>
            <w:noProof/>
            <w:webHidden/>
          </w:rPr>
          <w:tab/>
        </w:r>
        <w:r w:rsidR="00210C24">
          <w:rPr>
            <w:noProof/>
            <w:webHidden/>
          </w:rPr>
          <w:fldChar w:fldCharType="begin"/>
        </w:r>
        <w:r w:rsidR="00C04FB1">
          <w:rPr>
            <w:noProof/>
            <w:webHidden/>
          </w:rPr>
          <w:instrText xml:space="preserve"> PAGEREF _Toc290505472 \h </w:instrText>
        </w:r>
        <w:r w:rsidR="00210C24">
          <w:rPr>
            <w:noProof/>
            <w:webHidden/>
          </w:rPr>
        </w:r>
        <w:r w:rsidR="00210C24">
          <w:rPr>
            <w:noProof/>
            <w:webHidden/>
          </w:rPr>
          <w:fldChar w:fldCharType="separate"/>
        </w:r>
        <w:r w:rsidR="00C04FB1">
          <w:rPr>
            <w:noProof/>
            <w:webHidden/>
          </w:rPr>
          <w:t>14</w:t>
        </w:r>
        <w:r w:rsidR="00210C24">
          <w:rPr>
            <w:noProof/>
            <w:webHidden/>
          </w:rPr>
          <w:fldChar w:fldCharType="end"/>
        </w:r>
      </w:hyperlink>
    </w:p>
    <w:p w:rsidR="00C04FB1" w:rsidRDefault="00A92D32">
      <w:pPr>
        <w:pStyle w:val="TOC1"/>
        <w:tabs>
          <w:tab w:val="left" w:pos="720"/>
          <w:tab w:val="right" w:leader="dot" w:pos="9350"/>
        </w:tabs>
        <w:rPr>
          <w:rFonts w:asciiTheme="minorHAnsi" w:eastAsiaTheme="minorEastAsia" w:hAnsiTheme="minorHAnsi" w:cstheme="minorBidi"/>
          <w:b w:val="0"/>
          <w:bCs w:val="0"/>
          <w:i w:val="0"/>
          <w:iCs w:val="0"/>
          <w:noProof/>
          <w:sz w:val="22"/>
          <w:szCs w:val="22"/>
        </w:rPr>
      </w:pPr>
      <w:hyperlink w:anchor="_Toc290505473" w:history="1">
        <w:r w:rsidR="00C04FB1" w:rsidRPr="003E4351">
          <w:rPr>
            <w:rStyle w:val="Hyperlink"/>
            <w:noProof/>
          </w:rPr>
          <w:t>4.4.</w:t>
        </w:r>
        <w:r w:rsidR="00C04FB1">
          <w:rPr>
            <w:rFonts w:asciiTheme="minorHAnsi" w:eastAsiaTheme="minorEastAsia" w:hAnsiTheme="minorHAnsi" w:cstheme="minorBidi"/>
            <w:b w:val="0"/>
            <w:bCs w:val="0"/>
            <w:i w:val="0"/>
            <w:iCs w:val="0"/>
            <w:noProof/>
            <w:sz w:val="22"/>
            <w:szCs w:val="22"/>
          </w:rPr>
          <w:tab/>
        </w:r>
        <w:r w:rsidR="00C04FB1" w:rsidRPr="003E4351">
          <w:rPr>
            <w:rStyle w:val="Hyperlink"/>
            <w:noProof/>
          </w:rPr>
          <w:t>Releases and Security Considerations</w:t>
        </w:r>
        <w:r w:rsidR="00C04FB1">
          <w:rPr>
            <w:noProof/>
            <w:webHidden/>
          </w:rPr>
          <w:tab/>
        </w:r>
        <w:r w:rsidR="00210C24">
          <w:rPr>
            <w:noProof/>
            <w:webHidden/>
          </w:rPr>
          <w:fldChar w:fldCharType="begin"/>
        </w:r>
        <w:r w:rsidR="00C04FB1">
          <w:rPr>
            <w:noProof/>
            <w:webHidden/>
          </w:rPr>
          <w:instrText xml:space="preserve"> PAGEREF _Toc290505473 \h </w:instrText>
        </w:r>
        <w:r w:rsidR="00210C24">
          <w:rPr>
            <w:noProof/>
            <w:webHidden/>
          </w:rPr>
        </w:r>
        <w:r w:rsidR="00210C24">
          <w:rPr>
            <w:noProof/>
            <w:webHidden/>
          </w:rPr>
          <w:fldChar w:fldCharType="separate"/>
        </w:r>
        <w:r w:rsidR="00C04FB1">
          <w:rPr>
            <w:noProof/>
            <w:webHidden/>
          </w:rPr>
          <w:t>14</w:t>
        </w:r>
        <w:r w:rsidR="00210C24">
          <w:rPr>
            <w:noProof/>
            <w:webHidden/>
          </w:rPr>
          <w:fldChar w:fldCharType="end"/>
        </w:r>
      </w:hyperlink>
    </w:p>
    <w:p w:rsidR="00C04FB1" w:rsidRDefault="00A92D32">
      <w:pPr>
        <w:pStyle w:val="TOC1"/>
        <w:tabs>
          <w:tab w:val="left" w:pos="720"/>
          <w:tab w:val="right" w:leader="dot" w:pos="9350"/>
        </w:tabs>
        <w:rPr>
          <w:rFonts w:asciiTheme="minorHAnsi" w:eastAsiaTheme="minorEastAsia" w:hAnsiTheme="minorHAnsi" w:cstheme="minorBidi"/>
          <w:b w:val="0"/>
          <w:bCs w:val="0"/>
          <w:i w:val="0"/>
          <w:iCs w:val="0"/>
          <w:noProof/>
          <w:sz w:val="22"/>
          <w:szCs w:val="22"/>
        </w:rPr>
      </w:pPr>
      <w:hyperlink w:anchor="_Toc290505474" w:history="1">
        <w:r w:rsidR="00C04FB1" w:rsidRPr="003E4351">
          <w:rPr>
            <w:rStyle w:val="Hyperlink"/>
            <w:noProof/>
          </w:rPr>
          <w:t>4.5.</w:t>
        </w:r>
        <w:r w:rsidR="00C04FB1">
          <w:rPr>
            <w:rFonts w:asciiTheme="minorHAnsi" w:eastAsiaTheme="minorEastAsia" w:hAnsiTheme="minorHAnsi" w:cstheme="minorBidi"/>
            <w:b w:val="0"/>
            <w:bCs w:val="0"/>
            <w:i w:val="0"/>
            <w:iCs w:val="0"/>
            <w:noProof/>
            <w:sz w:val="22"/>
            <w:szCs w:val="22"/>
          </w:rPr>
          <w:tab/>
        </w:r>
        <w:r w:rsidR="00C04FB1" w:rsidRPr="003E4351">
          <w:rPr>
            <w:rStyle w:val="Hyperlink"/>
            <w:noProof/>
          </w:rPr>
          <w:t>Alcohol Policy</w:t>
        </w:r>
        <w:r w:rsidR="00C04FB1">
          <w:rPr>
            <w:noProof/>
            <w:webHidden/>
          </w:rPr>
          <w:tab/>
        </w:r>
        <w:r w:rsidR="00210C24">
          <w:rPr>
            <w:noProof/>
            <w:webHidden/>
          </w:rPr>
          <w:fldChar w:fldCharType="begin"/>
        </w:r>
        <w:r w:rsidR="00C04FB1">
          <w:rPr>
            <w:noProof/>
            <w:webHidden/>
          </w:rPr>
          <w:instrText xml:space="preserve"> PAGEREF _Toc290505474 \h </w:instrText>
        </w:r>
        <w:r w:rsidR="00210C24">
          <w:rPr>
            <w:noProof/>
            <w:webHidden/>
          </w:rPr>
        </w:r>
        <w:r w:rsidR="00210C24">
          <w:rPr>
            <w:noProof/>
            <w:webHidden/>
          </w:rPr>
          <w:fldChar w:fldCharType="separate"/>
        </w:r>
        <w:r w:rsidR="00C04FB1">
          <w:rPr>
            <w:noProof/>
            <w:webHidden/>
          </w:rPr>
          <w:t>14</w:t>
        </w:r>
        <w:r w:rsidR="00210C24">
          <w:rPr>
            <w:noProof/>
            <w:webHidden/>
          </w:rPr>
          <w:fldChar w:fldCharType="end"/>
        </w:r>
      </w:hyperlink>
    </w:p>
    <w:p w:rsidR="00C04FB1" w:rsidRDefault="00A92D32">
      <w:pPr>
        <w:pStyle w:val="TOC1"/>
        <w:tabs>
          <w:tab w:val="left" w:pos="720"/>
          <w:tab w:val="right" w:leader="dot" w:pos="9350"/>
        </w:tabs>
        <w:rPr>
          <w:rFonts w:asciiTheme="minorHAnsi" w:eastAsiaTheme="minorEastAsia" w:hAnsiTheme="minorHAnsi" w:cstheme="minorBidi"/>
          <w:b w:val="0"/>
          <w:bCs w:val="0"/>
          <w:i w:val="0"/>
          <w:iCs w:val="0"/>
          <w:noProof/>
          <w:sz w:val="22"/>
          <w:szCs w:val="22"/>
        </w:rPr>
      </w:pPr>
      <w:hyperlink w:anchor="_Toc290505475" w:history="1">
        <w:r w:rsidR="00C04FB1" w:rsidRPr="003E4351">
          <w:rPr>
            <w:rStyle w:val="Hyperlink"/>
            <w:noProof/>
          </w:rPr>
          <w:t>4.6.</w:t>
        </w:r>
        <w:r w:rsidR="00C04FB1">
          <w:rPr>
            <w:rFonts w:asciiTheme="minorHAnsi" w:eastAsiaTheme="minorEastAsia" w:hAnsiTheme="minorHAnsi" w:cstheme="minorBidi"/>
            <w:b w:val="0"/>
            <w:bCs w:val="0"/>
            <w:i w:val="0"/>
            <w:iCs w:val="0"/>
            <w:noProof/>
            <w:sz w:val="22"/>
            <w:szCs w:val="22"/>
          </w:rPr>
          <w:tab/>
        </w:r>
        <w:r w:rsidR="00C04FB1" w:rsidRPr="003E4351">
          <w:rPr>
            <w:rStyle w:val="Hyperlink"/>
            <w:noProof/>
          </w:rPr>
          <w:t>Communications Photo Releases</w:t>
        </w:r>
        <w:r w:rsidR="00C04FB1">
          <w:rPr>
            <w:noProof/>
            <w:webHidden/>
          </w:rPr>
          <w:tab/>
        </w:r>
        <w:r w:rsidR="00210C24">
          <w:rPr>
            <w:noProof/>
            <w:webHidden/>
          </w:rPr>
          <w:fldChar w:fldCharType="begin"/>
        </w:r>
        <w:r w:rsidR="00C04FB1">
          <w:rPr>
            <w:noProof/>
            <w:webHidden/>
          </w:rPr>
          <w:instrText xml:space="preserve"> PAGEREF _Toc290505475 \h </w:instrText>
        </w:r>
        <w:r w:rsidR="00210C24">
          <w:rPr>
            <w:noProof/>
            <w:webHidden/>
          </w:rPr>
        </w:r>
        <w:r w:rsidR="00210C24">
          <w:rPr>
            <w:noProof/>
            <w:webHidden/>
          </w:rPr>
          <w:fldChar w:fldCharType="separate"/>
        </w:r>
        <w:r w:rsidR="00C04FB1">
          <w:rPr>
            <w:noProof/>
            <w:webHidden/>
          </w:rPr>
          <w:t>14</w:t>
        </w:r>
        <w:r w:rsidR="00210C24">
          <w:rPr>
            <w:noProof/>
            <w:webHidden/>
          </w:rPr>
          <w:fldChar w:fldCharType="end"/>
        </w:r>
      </w:hyperlink>
    </w:p>
    <w:p w:rsidR="00C04FB1" w:rsidRDefault="00A92D32">
      <w:pPr>
        <w:pStyle w:val="TOC1"/>
        <w:tabs>
          <w:tab w:val="left" w:pos="720"/>
          <w:tab w:val="right" w:leader="dot" w:pos="9350"/>
        </w:tabs>
        <w:rPr>
          <w:rFonts w:asciiTheme="minorHAnsi" w:eastAsiaTheme="minorEastAsia" w:hAnsiTheme="minorHAnsi" w:cstheme="minorBidi"/>
          <w:b w:val="0"/>
          <w:bCs w:val="0"/>
          <w:i w:val="0"/>
          <w:iCs w:val="0"/>
          <w:noProof/>
          <w:sz w:val="22"/>
          <w:szCs w:val="22"/>
        </w:rPr>
      </w:pPr>
      <w:hyperlink w:anchor="_Toc290505476" w:history="1">
        <w:r w:rsidR="00C04FB1" w:rsidRPr="003E4351">
          <w:rPr>
            <w:rStyle w:val="Hyperlink"/>
            <w:noProof/>
          </w:rPr>
          <w:t>4.7.</w:t>
        </w:r>
        <w:r w:rsidR="00C04FB1">
          <w:rPr>
            <w:rFonts w:asciiTheme="minorHAnsi" w:eastAsiaTheme="minorEastAsia" w:hAnsiTheme="minorHAnsi" w:cstheme="minorBidi"/>
            <w:b w:val="0"/>
            <w:bCs w:val="0"/>
            <w:i w:val="0"/>
            <w:iCs w:val="0"/>
            <w:noProof/>
            <w:sz w:val="22"/>
            <w:szCs w:val="22"/>
          </w:rPr>
          <w:tab/>
        </w:r>
        <w:r w:rsidR="00C04FB1" w:rsidRPr="003E4351">
          <w:rPr>
            <w:rStyle w:val="Hyperlink"/>
            <w:noProof/>
          </w:rPr>
          <w:t>Budget</w:t>
        </w:r>
        <w:r w:rsidR="00C04FB1">
          <w:rPr>
            <w:noProof/>
            <w:webHidden/>
          </w:rPr>
          <w:tab/>
        </w:r>
        <w:r w:rsidR="00210C24">
          <w:rPr>
            <w:noProof/>
            <w:webHidden/>
          </w:rPr>
          <w:fldChar w:fldCharType="begin"/>
        </w:r>
        <w:r w:rsidR="00C04FB1">
          <w:rPr>
            <w:noProof/>
            <w:webHidden/>
          </w:rPr>
          <w:instrText xml:space="preserve"> PAGEREF _Toc290505476 \h </w:instrText>
        </w:r>
        <w:r w:rsidR="00210C24">
          <w:rPr>
            <w:noProof/>
            <w:webHidden/>
          </w:rPr>
        </w:r>
        <w:r w:rsidR="00210C24">
          <w:rPr>
            <w:noProof/>
            <w:webHidden/>
          </w:rPr>
          <w:fldChar w:fldCharType="separate"/>
        </w:r>
        <w:r w:rsidR="00C04FB1">
          <w:rPr>
            <w:noProof/>
            <w:webHidden/>
          </w:rPr>
          <w:t>14</w:t>
        </w:r>
        <w:r w:rsidR="00210C24">
          <w:rPr>
            <w:noProof/>
            <w:webHidden/>
          </w:rPr>
          <w:fldChar w:fldCharType="end"/>
        </w:r>
      </w:hyperlink>
    </w:p>
    <w:p w:rsidR="00C04FB1" w:rsidRDefault="00A92D32">
      <w:pPr>
        <w:pStyle w:val="TOC1"/>
        <w:tabs>
          <w:tab w:val="left" w:pos="720"/>
          <w:tab w:val="right" w:leader="dot" w:pos="9350"/>
        </w:tabs>
        <w:rPr>
          <w:rFonts w:asciiTheme="minorHAnsi" w:eastAsiaTheme="minorEastAsia" w:hAnsiTheme="minorHAnsi" w:cstheme="minorBidi"/>
          <w:b w:val="0"/>
          <w:bCs w:val="0"/>
          <w:i w:val="0"/>
          <w:iCs w:val="0"/>
          <w:noProof/>
          <w:sz w:val="22"/>
          <w:szCs w:val="22"/>
        </w:rPr>
      </w:pPr>
      <w:hyperlink w:anchor="_Toc290505478" w:history="1">
        <w:r w:rsidR="00C04FB1" w:rsidRPr="003E4351">
          <w:rPr>
            <w:rStyle w:val="Hyperlink"/>
            <w:noProof/>
          </w:rPr>
          <w:t>4.8.</w:t>
        </w:r>
        <w:r w:rsidR="00C04FB1">
          <w:rPr>
            <w:rFonts w:asciiTheme="minorHAnsi" w:eastAsiaTheme="minorEastAsia" w:hAnsiTheme="minorHAnsi" w:cstheme="minorBidi"/>
            <w:b w:val="0"/>
            <w:bCs w:val="0"/>
            <w:i w:val="0"/>
            <w:iCs w:val="0"/>
            <w:noProof/>
            <w:sz w:val="22"/>
            <w:szCs w:val="22"/>
          </w:rPr>
          <w:tab/>
        </w:r>
        <w:r w:rsidR="00C04FB1" w:rsidRPr="003E4351">
          <w:rPr>
            <w:rStyle w:val="Hyperlink"/>
            <w:noProof/>
          </w:rPr>
          <w:t xml:space="preserve">Status and Financial Briefings </w:t>
        </w:r>
        <w:r w:rsidR="00C04FB1">
          <w:rPr>
            <w:noProof/>
            <w:webHidden/>
          </w:rPr>
          <w:tab/>
        </w:r>
        <w:r w:rsidR="00210C24">
          <w:rPr>
            <w:noProof/>
            <w:webHidden/>
          </w:rPr>
          <w:fldChar w:fldCharType="begin"/>
        </w:r>
        <w:r w:rsidR="00C04FB1">
          <w:rPr>
            <w:noProof/>
            <w:webHidden/>
          </w:rPr>
          <w:instrText xml:space="preserve"> PAGEREF _Toc290505478 \h </w:instrText>
        </w:r>
        <w:r w:rsidR="00210C24">
          <w:rPr>
            <w:noProof/>
            <w:webHidden/>
          </w:rPr>
        </w:r>
        <w:r w:rsidR="00210C24">
          <w:rPr>
            <w:noProof/>
            <w:webHidden/>
          </w:rPr>
          <w:fldChar w:fldCharType="separate"/>
        </w:r>
        <w:r w:rsidR="00C04FB1">
          <w:rPr>
            <w:noProof/>
            <w:webHidden/>
          </w:rPr>
          <w:t>15</w:t>
        </w:r>
        <w:r w:rsidR="00210C24">
          <w:rPr>
            <w:noProof/>
            <w:webHidden/>
          </w:rPr>
          <w:fldChar w:fldCharType="end"/>
        </w:r>
      </w:hyperlink>
    </w:p>
    <w:p w:rsidR="00C04FB1" w:rsidRDefault="00A92D32">
      <w:pPr>
        <w:pStyle w:val="TOC1"/>
        <w:tabs>
          <w:tab w:val="left" w:pos="480"/>
          <w:tab w:val="right" w:leader="dot" w:pos="9350"/>
        </w:tabs>
        <w:rPr>
          <w:rFonts w:asciiTheme="minorHAnsi" w:eastAsiaTheme="minorEastAsia" w:hAnsiTheme="minorHAnsi" w:cstheme="minorBidi"/>
          <w:b w:val="0"/>
          <w:bCs w:val="0"/>
          <w:i w:val="0"/>
          <w:iCs w:val="0"/>
          <w:noProof/>
          <w:sz w:val="22"/>
          <w:szCs w:val="22"/>
        </w:rPr>
      </w:pPr>
      <w:hyperlink w:anchor="_Toc290505479" w:history="1">
        <w:r w:rsidR="00C04FB1" w:rsidRPr="003E4351">
          <w:rPr>
            <w:rStyle w:val="Hyperlink"/>
            <w:noProof/>
          </w:rPr>
          <w:t>5.</w:t>
        </w:r>
        <w:r w:rsidR="00C04FB1">
          <w:rPr>
            <w:rFonts w:asciiTheme="minorHAnsi" w:eastAsiaTheme="minorEastAsia" w:hAnsiTheme="minorHAnsi" w:cstheme="minorBidi"/>
            <w:b w:val="0"/>
            <w:bCs w:val="0"/>
            <w:i w:val="0"/>
            <w:iCs w:val="0"/>
            <w:noProof/>
            <w:sz w:val="22"/>
            <w:szCs w:val="22"/>
          </w:rPr>
          <w:tab/>
        </w:r>
        <w:r w:rsidR="00C04FB1" w:rsidRPr="003E4351">
          <w:rPr>
            <w:rStyle w:val="Hyperlink"/>
            <w:noProof/>
          </w:rPr>
          <w:t>Conclusion</w:t>
        </w:r>
        <w:r w:rsidR="00C04FB1">
          <w:rPr>
            <w:noProof/>
            <w:webHidden/>
          </w:rPr>
          <w:tab/>
        </w:r>
        <w:r w:rsidR="00210C24">
          <w:rPr>
            <w:noProof/>
            <w:webHidden/>
          </w:rPr>
          <w:fldChar w:fldCharType="begin"/>
        </w:r>
        <w:r w:rsidR="00C04FB1">
          <w:rPr>
            <w:noProof/>
            <w:webHidden/>
          </w:rPr>
          <w:instrText xml:space="preserve"> PAGEREF _Toc290505479 \h </w:instrText>
        </w:r>
        <w:r w:rsidR="00210C24">
          <w:rPr>
            <w:noProof/>
            <w:webHidden/>
          </w:rPr>
        </w:r>
        <w:r w:rsidR="00210C24">
          <w:rPr>
            <w:noProof/>
            <w:webHidden/>
          </w:rPr>
          <w:fldChar w:fldCharType="separate"/>
        </w:r>
        <w:r w:rsidR="00C04FB1">
          <w:rPr>
            <w:noProof/>
            <w:webHidden/>
          </w:rPr>
          <w:t>15</w:t>
        </w:r>
        <w:r w:rsidR="00210C24">
          <w:rPr>
            <w:noProof/>
            <w:webHidden/>
          </w:rPr>
          <w:fldChar w:fldCharType="end"/>
        </w:r>
      </w:hyperlink>
    </w:p>
    <w:p w:rsidR="00C04FB1" w:rsidRDefault="00A92D32">
      <w:pPr>
        <w:pStyle w:val="TOC1"/>
        <w:tabs>
          <w:tab w:val="right" w:leader="dot" w:pos="9350"/>
        </w:tabs>
        <w:rPr>
          <w:rFonts w:asciiTheme="minorHAnsi" w:eastAsiaTheme="minorEastAsia" w:hAnsiTheme="minorHAnsi" w:cstheme="minorBidi"/>
          <w:b w:val="0"/>
          <w:bCs w:val="0"/>
          <w:i w:val="0"/>
          <w:iCs w:val="0"/>
          <w:noProof/>
          <w:sz w:val="22"/>
          <w:szCs w:val="22"/>
        </w:rPr>
      </w:pPr>
      <w:hyperlink w:anchor="_Toc290505480" w:history="1">
        <w:r w:rsidR="00C04FB1" w:rsidRPr="003E4351">
          <w:rPr>
            <w:rStyle w:val="Hyperlink"/>
            <w:noProof/>
          </w:rPr>
          <w:t>Appendix A:  Events Suggestions</w:t>
        </w:r>
        <w:r w:rsidR="00C04FB1">
          <w:rPr>
            <w:noProof/>
            <w:webHidden/>
          </w:rPr>
          <w:tab/>
        </w:r>
        <w:r w:rsidR="00210C24">
          <w:rPr>
            <w:noProof/>
            <w:webHidden/>
          </w:rPr>
          <w:fldChar w:fldCharType="begin"/>
        </w:r>
        <w:r w:rsidR="00C04FB1">
          <w:rPr>
            <w:noProof/>
            <w:webHidden/>
          </w:rPr>
          <w:instrText xml:space="preserve"> PAGEREF _Toc290505480 \h </w:instrText>
        </w:r>
        <w:r w:rsidR="00210C24">
          <w:rPr>
            <w:noProof/>
            <w:webHidden/>
          </w:rPr>
        </w:r>
        <w:r w:rsidR="00210C24">
          <w:rPr>
            <w:noProof/>
            <w:webHidden/>
          </w:rPr>
          <w:fldChar w:fldCharType="separate"/>
        </w:r>
        <w:r w:rsidR="00C04FB1">
          <w:rPr>
            <w:noProof/>
            <w:webHidden/>
          </w:rPr>
          <w:t>16</w:t>
        </w:r>
        <w:r w:rsidR="00210C24">
          <w:rPr>
            <w:noProof/>
            <w:webHidden/>
          </w:rPr>
          <w:fldChar w:fldCharType="end"/>
        </w:r>
      </w:hyperlink>
    </w:p>
    <w:p w:rsidR="00157C86" w:rsidRPr="00CD5932" w:rsidRDefault="00210C24" w:rsidP="00777D97">
      <w:pPr>
        <w:pStyle w:val="Heading1"/>
        <w:rPr>
          <w:sz w:val="24"/>
          <w:szCs w:val="24"/>
        </w:rPr>
        <w:sectPr w:rsidR="00157C86" w:rsidRPr="00CD5932" w:rsidSect="00157C86">
          <w:footerReference w:type="default" r:id="rId14"/>
          <w:pgSz w:w="12240" w:h="15840" w:code="257"/>
          <w:pgMar w:top="1440" w:right="1440" w:bottom="1440" w:left="1440" w:header="720" w:footer="720" w:gutter="0"/>
          <w:pgNumType w:fmt="lowerRoman" w:start="1"/>
          <w:cols w:space="720"/>
          <w:docGrid w:linePitch="360"/>
        </w:sectPr>
      </w:pPr>
      <w:r w:rsidRPr="009918BA">
        <w:rPr>
          <w:sz w:val="24"/>
          <w:szCs w:val="24"/>
        </w:rPr>
        <w:fldChar w:fldCharType="end"/>
      </w:r>
    </w:p>
    <w:p w:rsidR="00224F2F" w:rsidRPr="00BC708B" w:rsidRDefault="00224F2F" w:rsidP="001F6922">
      <w:pPr>
        <w:pStyle w:val="Heading1"/>
        <w:numPr>
          <w:ilvl w:val="0"/>
          <w:numId w:val="27"/>
        </w:numPr>
        <w:rPr>
          <w:sz w:val="28"/>
          <w:szCs w:val="28"/>
        </w:rPr>
      </w:pPr>
      <w:bookmarkStart w:id="1" w:name="_Toc169512020"/>
      <w:bookmarkStart w:id="2" w:name="_Toc290505454"/>
      <w:bookmarkStart w:id="3" w:name="_Toc168885486"/>
      <w:r w:rsidRPr="00BC708B">
        <w:rPr>
          <w:sz w:val="28"/>
          <w:szCs w:val="28"/>
        </w:rPr>
        <w:lastRenderedPageBreak/>
        <w:t>Introduction</w:t>
      </w:r>
      <w:bookmarkEnd w:id="1"/>
      <w:bookmarkEnd w:id="2"/>
    </w:p>
    <w:p w:rsidR="00224F2F" w:rsidRPr="00E221A4" w:rsidRDefault="00667090" w:rsidP="00224F2F">
      <w:pPr>
        <w:rPr>
          <w:rFonts w:ascii="Arial" w:hAnsi="Arial" w:cs="Arial"/>
        </w:rPr>
      </w:pPr>
      <w:r>
        <w:rPr>
          <w:rFonts w:ascii="Arial" w:hAnsi="Arial" w:cs="Arial"/>
        </w:rPr>
        <w:t>One Adelante</w:t>
      </w:r>
      <w:r w:rsidR="00224F2F">
        <w:rPr>
          <w:rFonts w:ascii="Arial" w:hAnsi="Arial" w:cs="Arial"/>
        </w:rPr>
        <w:t xml:space="preserve"> is an </w:t>
      </w:r>
      <w:r w:rsidR="0044152E">
        <w:rPr>
          <w:rFonts w:ascii="Arial" w:hAnsi="Arial" w:cs="Arial"/>
        </w:rPr>
        <w:t>e</w:t>
      </w:r>
      <w:r w:rsidR="00224F2F" w:rsidRPr="00E221A4">
        <w:rPr>
          <w:rFonts w:ascii="Arial" w:hAnsi="Arial" w:cs="Arial"/>
        </w:rPr>
        <w:t xml:space="preserve">nterprise-wide Employee Resource Group (ERG) created to provide a common vision and mission across </w:t>
      </w:r>
      <w:r w:rsidR="0044152E">
        <w:rPr>
          <w:rFonts w:ascii="Arial" w:hAnsi="Arial" w:cs="Arial"/>
        </w:rPr>
        <w:t xml:space="preserve">Northrop Grumman’s </w:t>
      </w:r>
      <w:r w:rsidR="00C27B04">
        <w:rPr>
          <w:rFonts w:ascii="Arial" w:hAnsi="Arial" w:cs="Arial"/>
        </w:rPr>
        <w:t xml:space="preserve">Adelante </w:t>
      </w:r>
      <w:r w:rsidR="0044152E">
        <w:rPr>
          <w:rFonts w:ascii="Arial" w:hAnsi="Arial" w:cs="Arial"/>
        </w:rPr>
        <w:t>chapters</w:t>
      </w:r>
      <w:r w:rsidR="00224F2F" w:rsidRPr="00E221A4">
        <w:rPr>
          <w:rFonts w:ascii="Arial" w:hAnsi="Arial" w:cs="Arial"/>
        </w:rPr>
        <w:t xml:space="preserve">. Our goal is to continue to develop and engage our diverse workforce to enable Northrop Grumman to achieve a culture of performance, essential to accomplish the company’s business objectives.  It is designed to </w:t>
      </w:r>
      <w:r w:rsidR="00224F2F">
        <w:rPr>
          <w:rFonts w:ascii="Arial" w:hAnsi="Arial" w:cs="Arial"/>
        </w:rPr>
        <w:t xml:space="preserve">span the Enterprise and connect employees </w:t>
      </w:r>
      <w:r w:rsidR="003D5233">
        <w:rPr>
          <w:rFonts w:ascii="Arial" w:hAnsi="Arial" w:cs="Arial"/>
        </w:rPr>
        <w:t xml:space="preserve">that share an affinity towards Hispanic culture </w:t>
      </w:r>
      <w:r w:rsidR="00224F2F">
        <w:rPr>
          <w:rFonts w:ascii="Arial" w:hAnsi="Arial" w:cs="Arial"/>
        </w:rPr>
        <w:t xml:space="preserve">throughout Northrop Grumman, regardless of Sector.  All this while creating an environment that fosters </w:t>
      </w:r>
      <w:r w:rsidR="00224F2F" w:rsidRPr="00E221A4">
        <w:rPr>
          <w:rFonts w:ascii="Arial" w:hAnsi="Arial" w:cs="Arial"/>
        </w:rPr>
        <w:t>knowledge</w:t>
      </w:r>
      <w:r w:rsidR="00224F2F">
        <w:rPr>
          <w:rFonts w:ascii="Arial" w:hAnsi="Arial" w:cs="Arial"/>
        </w:rPr>
        <w:t xml:space="preserve"> shar</w:t>
      </w:r>
      <w:r w:rsidR="00796B54">
        <w:rPr>
          <w:rFonts w:ascii="Arial" w:hAnsi="Arial" w:cs="Arial"/>
        </w:rPr>
        <w:t>ing</w:t>
      </w:r>
      <w:r w:rsidR="00224F2F" w:rsidRPr="00E221A4">
        <w:rPr>
          <w:rFonts w:ascii="Arial" w:hAnsi="Arial" w:cs="Arial"/>
        </w:rPr>
        <w:t xml:space="preserve">, </w:t>
      </w:r>
      <w:r w:rsidR="00224F2F">
        <w:rPr>
          <w:rFonts w:ascii="Arial" w:hAnsi="Arial" w:cs="Arial"/>
        </w:rPr>
        <w:t xml:space="preserve">relationship building as well as </w:t>
      </w:r>
      <w:r w:rsidR="00224F2F" w:rsidRPr="00E221A4">
        <w:rPr>
          <w:rFonts w:ascii="Arial" w:hAnsi="Arial" w:cs="Arial"/>
        </w:rPr>
        <w:t>enhance</w:t>
      </w:r>
      <w:r w:rsidR="00224F2F">
        <w:rPr>
          <w:rFonts w:ascii="Arial" w:hAnsi="Arial" w:cs="Arial"/>
        </w:rPr>
        <w:t xml:space="preserve"> the employee’s p</w:t>
      </w:r>
      <w:r w:rsidR="00224F2F" w:rsidRPr="00E221A4">
        <w:rPr>
          <w:rFonts w:ascii="Arial" w:hAnsi="Arial" w:cs="Arial"/>
        </w:rPr>
        <w:t xml:space="preserve">rofessional </w:t>
      </w:r>
      <w:r w:rsidR="00224F2F">
        <w:rPr>
          <w:rFonts w:ascii="Arial" w:hAnsi="Arial" w:cs="Arial"/>
        </w:rPr>
        <w:t>development.</w:t>
      </w:r>
      <w:r w:rsidR="00224F2F" w:rsidRPr="00E221A4">
        <w:rPr>
          <w:rFonts w:ascii="Arial" w:hAnsi="Arial" w:cs="Arial"/>
        </w:rPr>
        <w:t xml:space="preserve">  </w:t>
      </w:r>
    </w:p>
    <w:p w:rsidR="00224F2F" w:rsidRPr="00741E5F" w:rsidRDefault="00224F2F" w:rsidP="00224F2F">
      <w:pPr>
        <w:autoSpaceDE w:val="0"/>
        <w:autoSpaceDN w:val="0"/>
        <w:adjustRightInd w:val="0"/>
        <w:spacing w:before="100" w:after="100"/>
        <w:rPr>
          <w:rFonts w:ascii="Arial" w:hAnsi="Arial" w:cs="Arial"/>
        </w:rPr>
      </w:pPr>
      <w:r w:rsidRPr="00741E5F">
        <w:rPr>
          <w:rFonts w:ascii="Arial" w:hAnsi="Arial" w:cs="Arial"/>
          <w:bCs/>
        </w:rPr>
        <w:t>Our mission and goals are aligned with Northrop Grumman’s business objectives and will support the workforce engagement initiatives, diversity awareness and recruitment efforts.</w:t>
      </w:r>
    </w:p>
    <w:p w:rsidR="00224F2F" w:rsidRDefault="00667090" w:rsidP="00224F2F">
      <w:pPr>
        <w:autoSpaceDE w:val="0"/>
        <w:autoSpaceDN w:val="0"/>
        <w:adjustRightInd w:val="0"/>
        <w:spacing w:before="100" w:after="100"/>
        <w:rPr>
          <w:rFonts w:ascii="Arial" w:hAnsi="Arial" w:cs="Arial"/>
        </w:rPr>
      </w:pPr>
      <w:r>
        <w:rPr>
          <w:rFonts w:ascii="Arial" w:hAnsi="Arial" w:cs="Arial"/>
        </w:rPr>
        <w:t>One Adelante</w:t>
      </w:r>
      <w:r w:rsidR="00224F2F" w:rsidRPr="001074AA">
        <w:rPr>
          <w:rFonts w:ascii="Arial" w:hAnsi="Arial" w:cs="Arial"/>
        </w:rPr>
        <w:t xml:space="preserve"> will become a critical force in supporting Enterprise-wide recruiting efforts by promoting brand recognition for Northrop Grumman in support of the acquisition of diverse talent. The cohesive efforts of </w:t>
      </w:r>
      <w:r>
        <w:rPr>
          <w:rFonts w:ascii="Arial" w:hAnsi="Arial" w:cs="Arial"/>
        </w:rPr>
        <w:t>One Adelante</w:t>
      </w:r>
      <w:r w:rsidR="0044152E">
        <w:rPr>
          <w:rFonts w:ascii="Arial" w:hAnsi="Arial" w:cs="Arial"/>
        </w:rPr>
        <w:t xml:space="preserve"> </w:t>
      </w:r>
      <w:r w:rsidR="00224F2F" w:rsidRPr="001074AA">
        <w:rPr>
          <w:rFonts w:ascii="Arial" w:hAnsi="Arial" w:cs="Arial"/>
        </w:rPr>
        <w:t xml:space="preserve">will facilitate in the </w:t>
      </w:r>
      <w:r w:rsidR="0091759F">
        <w:rPr>
          <w:rFonts w:ascii="Arial" w:hAnsi="Arial" w:cs="Arial"/>
        </w:rPr>
        <w:t xml:space="preserve">development and </w:t>
      </w:r>
      <w:r w:rsidR="00224F2F" w:rsidRPr="001074AA">
        <w:rPr>
          <w:rFonts w:ascii="Arial" w:hAnsi="Arial" w:cs="Arial"/>
        </w:rPr>
        <w:t xml:space="preserve">retention of our skilled diverse employee group.  </w:t>
      </w:r>
    </w:p>
    <w:p w:rsidR="0064557D" w:rsidRPr="000B765C" w:rsidRDefault="000B765C" w:rsidP="001F6922">
      <w:pPr>
        <w:pStyle w:val="Heading1"/>
        <w:numPr>
          <w:ilvl w:val="1"/>
          <w:numId w:val="27"/>
        </w:numPr>
        <w:rPr>
          <w:sz w:val="28"/>
          <w:szCs w:val="28"/>
        </w:rPr>
      </w:pPr>
      <w:bookmarkStart w:id="4" w:name="_Toc290505455"/>
      <w:bookmarkStart w:id="5" w:name="_Toc169512021"/>
      <w:r>
        <w:rPr>
          <w:sz w:val="28"/>
          <w:szCs w:val="28"/>
        </w:rPr>
        <w:t>V</w:t>
      </w:r>
      <w:r w:rsidR="0064557D" w:rsidRPr="000B765C">
        <w:rPr>
          <w:sz w:val="28"/>
          <w:szCs w:val="28"/>
        </w:rPr>
        <w:t>ision Statement</w:t>
      </w:r>
      <w:bookmarkEnd w:id="4"/>
    </w:p>
    <w:p w:rsidR="00772749" w:rsidRDefault="00772749" w:rsidP="00772749">
      <w:pPr>
        <w:rPr>
          <w:rFonts w:ascii="Arial" w:hAnsi="Arial" w:cs="Arial"/>
          <w:bCs/>
        </w:rPr>
      </w:pPr>
      <w:r w:rsidRPr="002A5516">
        <w:rPr>
          <w:rFonts w:ascii="Arial" w:hAnsi="Arial" w:cs="Arial"/>
          <w:bCs/>
        </w:rPr>
        <w:t>To be a cohesive, all-inclusive community of employees who propel Northrop Grumman to be the leader in global security</w:t>
      </w:r>
      <w:r>
        <w:rPr>
          <w:rFonts w:ascii="Arial" w:hAnsi="Arial" w:cs="Arial"/>
          <w:bCs/>
        </w:rPr>
        <w:t xml:space="preserve"> with a focus on the development of Hispanic talent.</w:t>
      </w:r>
    </w:p>
    <w:p w:rsidR="00772749" w:rsidRDefault="00772749" w:rsidP="0064557D">
      <w:pPr>
        <w:rPr>
          <w:rFonts w:ascii="Arial" w:hAnsi="Arial" w:cs="Arial"/>
          <w:bCs/>
        </w:rPr>
      </w:pPr>
    </w:p>
    <w:p w:rsidR="0044152E" w:rsidRPr="000B765C" w:rsidRDefault="00224F2F" w:rsidP="001F6922">
      <w:pPr>
        <w:pStyle w:val="Heading1"/>
        <w:numPr>
          <w:ilvl w:val="1"/>
          <w:numId w:val="27"/>
        </w:numPr>
        <w:rPr>
          <w:sz w:val="28"/>
          <w:szCs w:val="28"/>
        </w:rPr>
      </w:pPr>
      <w:bookmarkStart w:id="6" w:name="_Toc290505456"/>
      <w:r w:rsidRPr="000B765C">
        <w:rPr>
          <w:sz w:val="28"/>
          <w:szCs w:val="28"/>
        </w:rPr>
        <w:t>Mission Statement</w:t>
      </w:r>
      <w:bookmarkEnd w:id="5"/>
      <w:bookmarkEnd w:id="6"/>
      <w:r w:rsidRPr="000B765C">
        <w:rPr>
          <w:sz w:val="28"/>
          <w:szCs w:val="28"/>
        </w:rPr>
        <w:t xml:space="preserve"> </w:t>
      </w:r>
      <w:bookmarkStart w:id="7" w:name="_Toc169512022"/>
    </w:p>
    <w:p w:rsidR="00224F2F" w:rsidRPr="00C24B5F" w:rsidRDefault="00667090" w:rsidP="00C24B5F">
      <w:pPr>
        <w:rPr>
          <w:rFonts w:ascii="Arial" w:hAnsi="Arial" w:cs="Arial"/>
          <w:bCs/>
        </w:rPr>
      </w:pPr>
      <w:r w:rsidRPr="00C24B5F">
        <w:rPr>
          <w:rFonts w:ascii="Arial" w:hAnsi="Arial" w:cs="Arial"/>
          <w:bCs/>
        </w:rPr>
        <w:t>One Adelante</w:t>
      </w:r>
      <w:r w:rsidR="0064557D" w:rsidRPr="00C24B5F">
        <w:rPr>
          <w:rFonts w:ascii="Arial" w:hAnsi="Arial" w:cs="Arial"/>
          <w:bCs/>
        </w:rPr>
        <w:t xml:space="preserve"> </w:t>
      </w:r>
      <w:r w:rsidR="00CC3D31" w:rsidRPr="00C24B5F">
        <w:rPr>
          <w:rFonts w:ascii="Arial" w:hAnsi="Arial" w:cs="Arial"/>
          <w:bCs/>
        </w:rPr>
        <w:t>is an all</w:t>
      </w:r>
      <w:r w:rsidR="00772749" w:rsidRPr="00C24B5F">
        <w:rPr>
          <w:rFonts w:ascii="Arial" w:hAnsi="Arial" w:cs="Arial"/>
          <w:bCs/>
        </w:rPr>
        <w:t>-</w:t>
      </w:r>
      <w:r w:rsidR="00CC3D31" w:rsidRPr="00C24B5F">
        <w:rPr>
          <w:rFonts w:ascii="Arial" w:hAnsi="Arial" w:cs="Arial"/>
          <w:bCs/>
        </w:rPr>
        <w:t xml:space="preserve">inclusive </w:t>
      </w:r>
      <w:r w:rsidR="0064557D" w:rsidRPr="00C24B5F">
        <w:rPr>
          <w:rFonts w:ascii="Arial" w:hAnsi="Arial" w:cs="Arial"/>
          <w:bCs/>
        </w:rPr>
        <w:t>employee resource group committed to a</w:t>
      </w:r>
      <w:r w:rsidR="00224F2F" w:rsidRPr="00C24B5F">
        <w:rPr>
          <w:rFonts w:ascii="Arial" w:hAnsi="Arial" w:cs="Arial"/>
          <w:bCs/>
        </w:rPr>
        <w:t>ttract, develop</w:t>
      </w:r>
      <w:r w:rsidR="0064557D" w:rsidRPr="00C24B5F">
        <w:rPr>
          <w:rFonts w:ascii="Arial" w:hAnsi="Arial" w:cs="Arial"/>
          <w:bCs/>
        </w:rPr>
        <w:t xml:space="preserve"> and retain Hispanic employees to achieve</w:t>
      </w:r>
      <w:r w:rsidR="0074684B" w:rsidRPr="00C24B5F">
        <w:rPr>
          <w:rFonts w:ascii="Arial" w:hAnsi="Arial" w:cs="Arial"/>
          <w:bCs/>
        </w:rPr>
        <w:t xml:space="preserve"> the company’s business objectives</w:t>
      </w:r>
      <w:r w:rsidR="00CD30B3" w:rsidRPr="00C24B5F">
        <w:rPr>
          <w:rFonts w:ascii="Arial" w:hAnsi="Arial" w:cs="Arial"/>
          <w:bCs/>
        </w:rPr>
        <w:t xml:space="preserve">: </w:t>
      </w:r>
      <w:r w:rsidR="0064557D" w:rsidRPr="00C24B5F">
        <w:rPr>
          <w:rFonts w:ascii="Arial" w:hAnsi="Arial" w:cs="Arial"/>
          <w:bCs/>
        </w:rPr>
        <w:t xml:space="preserve">enterprise </w:t>
      </w:r>
      <w:r w:rsidR="0074684B" w:rsidRPr="00C24B5F">
        <w:rPr>
          <w:rFonts w:ascii="Arial" w:hAnsi="Arial" w:cs="Arial"/>
          <w:bCs/>
        </w:rPr>
        <w:t>growth, engagement and performance</w:t>
      </w:r>
      <w:r w:rsidR="0064557D" w:rsidRPr="00C24B5F">
        <w:rPr>
          <w:rFonts w:ascii="Arial" w:hAnsi="Arial" w:cs="Arial"/>
          <w:bCs/>
        </w:rPr>
        <w:t>.</w:t>
      </w:r>
    </w:p>
    <w:bookmarkEnd w:id="7"/>
    <w:p w:rsidR="00224F2F" w:rsidRPr="00811D96" w:rsidRDefault="00224F2F" w:rsidP="00224F2F">
      <w:pPr>
        <w:rPr>
          <w:rFonts w:ascii="Arial" w:hAnsi="Arial" w:cs="Arial"/>
          <w:bCs/>
        </w:rPr>
      </w:pPr>
    </w:p>
    <w:p w:rsidR="00224F2F" w:rsidRDefault="00224F2F" w:rsidP="00224F2F">
      <w:pPr>
        <w:rPr>
          <w:rFonts w:ascii="Arial" w:hAnsi="Arial" w:cs="Arial"/>
        </w:rPr>
      </w:pPr>
      <w:r w:rsidRPr="00811D96">
        <w:rPr>
          <w:rFonts w:ascii="Arial" w:hAnsi="Arial" w:cs="Arial"/>
        </w:rPr>
        <w:t xml:space="preserve">To accomplish our vision, we are guided by the Pillars of </w:t>
      </w:r>
      <w:r w:rsidR="00667090">
        <w:rPr>
          <w:rFonts w:ascii="Arial" w:hAnsi="Arial" w:cs="Arial"/>
        </w:rPr>
        <w:t>One Adelante</w:t>
      </w:r>
      <w:r w:rsidR="00BA1956">
        <w:rPr>
          <w:rFonts w:ascii="Arial" w:hAnsi="Arial" w:cs="Arial"/>
        </w:rPr>
        <w:t xml:space="preserve"> which are aligned to the Corporate Strategic Objectives</w:t>
      </w:r>
      <w:r w:rsidRPr="00811D96">
        <w:rPr>
          <w:rFonts w:ascii="Arial" w:hAnsi="Arial" w:cs="Arial"/>
        </w:rPr>
        <w:t>:</w:t>
      </w:r>
    </w:p>
    <w:p w:rsidR="00C27B04" w:rsidRDefault="00C27B04" w:rsidP="00224F2F">
      <w:pPr>
        <w:rPr>
          <w:rFonts w:ascii="Arial" w:hAnsi="Arial" w:cs="Arial"/>
        </w:rPr>
      </w:pPr>
    </w:p>
    <w:p w:rsidR="00BA1956" w:rsidRDefault="00224F2F" w:rsidP="001F6922">
      <w:pPr>
        <w:pStyle w:val="Heading1"/>
        <w:numPr>
          <w:ilvl w:val="1"/>
          <w:numId w:val="27"/>
        </w:numPr>
        <w:rPr>
          <w:sz w:val="28"/>
          <w:szCs w:val="28"/>
        </w:rPr>
      </w:pPr>
      <w:bookmarkStart w:id="8" w:name="_Toc169512023"/>
      <w:bookmarkStart w:id="9" w:name="_Toc290505457"/>
      <w:r w:rsidRPr="000B765C">
        <w:rPr>
          <w:sz w:val="28"/>
          <w:szCs w:val="28"/>
        </w:rPr>
        <w:t xml:space="preserve">The Pillars of </w:t>
      </w:r>
      <w:bookmarkEnd w:id="8"/>
      <w:r w:rsidR="00667090" w:rsidRPr="000B765C">
        <w:rPr>
          <w:sz w:val="28"/>
          <w:szCs w:val="28"/>
        </w:rPr>
        <w:t>One Adelante</w:t>
      </w:r>
      <w:bookmarkEnd w:id="9"/>
      <w:r w:rsidRPr="000B765C">
        <w:rPr>
          <w:sz w:val="28"/>
          <w:szCs w:val="28"/>
        </w:rPr>
        <w:t xml:space="preserve"> </w:t>
      </w:r>
    </w:p>
    <w:p w:rsidR="002D2DDB" w:rsidRDefault="001E28E9">
      <w:r w:rsidRPr="001E28E9">
        <w:rPr>
          <w:rFonts w:ascii="Arial" w:hAnsi="Arial" w:cs="Arial"/>
          <w:bCs/>
        </w:rPr>
        <w:t>Below</w:t>
      </w:r>
      <w:r w:rsidR="00BA1956">
        <w:rPr>
          <w:rFonts w:ascii="Arial" w:hAnsi="Arial" w:cs="Arial"/>
          <w:bCs/>
        </w:rPr>
        <w:t xml:space="preserve"> is a diagram of the pillars which represent the foundation of the One Adelante Employee Resource Group and portray the strategic objectives to be accomplished by the membership. </w:t>
      </w:r>
    </w:p>
    <w:p w:rsidR="002D2DDB" w:rsidRDefault="00224F2F">
      <w:pPr>
        <w:pStyle w:val="Heading1"/>
        <w:ind w:left="360"/>
        <w:rPr>
          <w:sz w:val="28"/>
          <w:szCs w:val="28"/>
        </w:rPr>
      </w:pPr>
      <w:r w:rsidRPr="000B765C">
        <w:rPr>
          <w:sz w:val="28"/>
          <w:szCs w:val="28"/>
        </w:rPr>
        <w:lastRenderedPageBreak/>
        <w:t xml:space="preserve">     </w:t>
      </w:r>
    </w:p>
    <w:p w:rsidR="00224F2F" w:rsidRDefault="00C27B04" w:rsidP="00224F2F">
      <w:pPr>
        <w:jc w:val="center"/>
        <w:rPr>
          <w:rFonts w:ascii="Arial" w:hAnsi="Arial" w:cs="Arial"/>
          <w:color w:val="FF0000"/>
        </w:rPr>
      </w:pPr>
      <w:r w:rsidRPr="00D23656">
        <w:rPr>
          <w:rFonts w:ascii="Arial" w:hAnsi="Arial" w:cs="Arial"/>
          <w:color w:val="FF0000"/>
        </w:rPr>
        <w:object w:dxaOrig="7246" w:dyaOrig="5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1.5pt;height:270.75pt" o:ole="">
            <v:imagedata r:id="rId15" o:title=""/>
          </v:shape>
          <o:OLEObject Type="Embed" ProgID="PowerPoint.Slide.12" ShapeID="_x0000_i1025" DrawAspect="Content" ObjectID="_1461055477" r:id="rId16"/>
        </w:object>
      </w:r>
    </w:p>
    <w:p w:rsidR="00224F2F" w:rsidRDefault="00224F2F" w:rsidP="00224F2F">
      <w:pPr>
        <w:rPr>
          <w:rFonts w:ascii="Arial" w:hAnsi="Arial" w:cs="Arial"/>
          <w:color w:val="FF0000"/>
        </w:rPr>
      </w:pPr>
    </w:p>
    <w:p w:rsidR="00224F2F" w:rsidRPr="00811D96" w:rsidRDefault="00224F2F" w:rsidP="00224F2F">
      <w:pPr>
        <w:rPr>
          <w:rFonts w:ascii="Arial" w:hAnsi="Arial" w:cs="Arial"/>
          <w:color w:val="333333"/>
        </w:rPr>
      </w:pPr>
    </w:p>
    <w:p w:rsidR="00224F2F" w:rsidRPr="00811D96" w:rsidRDefault="00224F2F" w:rsidP="00224F2F">
      <w:pPr>
        <w:rPr>
          <w:rFonts w:ascii="Arial" w:hAnsi="Arial" w:cs="Arial"/>
          <w:color w:val="333333"/>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300"/>
      </w:tblGrid>
      <w:tr w:rsidR="00224F2F" w:rsidRPr="0001758B" w:rsidTr="002570F2">
        <w:tc>
          <w:tcPr>
            <w:tcW w:w="3168" w:type="dxa"/>
            <w:shd w:val="clear" w:color="auto" w:fill="0000FF"/>
          </w:tcPr>
          <w:p w:rsidR="00224F2F" w:rsidRPr="0001758B" w:rsidRDefault="00224F2F" w:rsidP="002570F2">
            <w:pPr>
              <w:spacing w:before="100" w:beforeAutospacing="1"/>
              <w:rPr>
                <w:rFonts w:ascii="Arial" w:hAnsi="Arial" w:cs="Arial"/>
                <w:b/>
                <w:color w:val="FFFFFF"/>
              </w:rPr>
            </w:pPr>
            <w:r>
              <w:rPr>
                <w:rFonts w:ascii="Arial" w:hAnsi="Arial" w:cs="Arial"/>
                <w:b/>
                <w:color w:val="FFFFFF"/>
              </w:rPr>
              <w:t>Pillars</w:t>
            </w:r>
          </w:p>
        </w:tc>
        <w:tc>
          <w:tcPr>
            <w:tcW w:w="6300" w:type="dxa"/>
            <w:shd w:val="clear" w:color="auto" w:fill="0000FF"/>
          </w:tcPr>
          <w:p w:rsidR="00224F2F" w:rsidRPr="0001758B" w:rsidRDefault="00224F2F" w:rsidP="009C4B43">
            <w:pPr>
              <w:spacing w:before="100" w:beforeAutospacing="1"/>
              <w:rPr>
                <w:rFonts w:ascii="Arial" w:hAnsi="Arial" w:cs="Arial"/>
                <w:b/>
                <w:color w:val="FFFFFF"/>
              </w:rPr>
            </w:pPr>
            <w:r w:rsidRPr="0001758B">
              <w:rPr>
                <w:rFonts w:ascii="Arial" w:hAnsi="Arial" w:cs="Arial"/>
                <w:b/>
                <w:color w:val="FFFFFF"/>
              </w:rPr>
              <w:t xml:space="preserve">How </w:t>
            </w:r>
            <w:r w:rsidR="00667090">
              <w:rPr>
                <w:rFonts w:ascii="Arial" w:hAnsi="Arial" w:cs="Arial"/>
                <w:b/>
                <w:color w:val="FFFFFF"/>
              </w:rPr>
              <w:t>One Adelante</w:t>
            </w:r>
            <w:r w:rsidRPr="0001758B">
              <w:rPr>
                <w:rFonts w:ascii="Arial" w:hAnsi="Arial" w:cs="Arial"/>
                <w:b/>
                <w:color w:val="FFFFFF"/>
              </w:rPr>
              <w:t xml:space="preserve"> Supports </w:t>
            </w:r>
          </w:p>
        </w:tc>
      </w:tr>
      <w:tr w:rsidR="00224F2F" w:rsidRPr="0001758B" w:rsidTr="002570F2">
        <w:tc>
          <w:tcPr>
            <w:tcW w:w="3168" w:type="dxa"/>
          </w:tcPr>
          <w:p w:rsidR="00224F2F" w:rsidRDefault="00224F2F" w:rsidP="002570F2">
            <w:pPr>
              <w:spacing w:before="100" w:beforeAutospacing="1"/>
              <w:rPr>
                <w:rFonts w:ascii="Arial" w:hAnsi="Arial" w:cs="Arial"/>
              </w:rPr>
            </w:pPr>
            <w:r>
              <w:rPr>
                <w:rFonts w:ascii="Arial" w:hAnsi="Arial" w:cs="Arial"/>
              </w:rPr>
              <w:t>Business Partner/Impact to the Business</w:t>
            </w:r>
          </w:p>
        </w:tc>
        <w:tc>
          <w:tcPr>
            <w:tcW w:w="6300" w:type="dxa"/>
          </w:tcPr>
          <w:p w:rsidR="00BF038E" w:rsidRPr="00BF038E" w:rsidRDefault="00BF038E" w:rsidP="00BF038E">
            <w:pPr>
              <w:pStyle w:val="ListParagraph"/>
              <w:numPr>
                <w:ilvl w:val="0"/>
                <w:numId w:val="28"/>
              </w:numPr>
              <w:ind w:left="252" w:hanging="180"/>
              <w:rPr>
                <w:rFonts w:ascii="Arial" w:hAnsi="Arial" w:cs="Arial"/>
                <w:color w:val="333333"/>
              </w:rPr>
            </w:pPr>
            <w:r w:rsidRPr="00BF038E">
              <w:rPr>
                <w:rFonts w:ascii="Arial" w:hAnsi="Arial" w:cs="Arial"/>
                <w:color w:val="333333"/>
              </w:rPr>
              <w:t>Promote brand recognition for the enterprise in support of the acquisition of diverse talent</w:t>
            </w:r>
          </w:p>
          <w:p w:rsidR="00BF038E" w:rsidRPr="00BF038E" w:rsidRDefault="00BF038E" w:rsidP="00BF038E">
            <w:pPr>
              <w:pStyle w:val="ListParagraph"/>
              <w:numPr>
                <w:ilvl w:val="0"/>
                <w:numId w:val="28"/>
              </w:numPr>
              <w:ind w:left="252" w:hanging="180"/>
              <w:rPr>
                <w:rFonts w:ascii="Arial" w:hAnsi="Arial" w:cs="Arial"/>
                <w:color w:val="333333"/>
              </w:rPr>
            </w:pPr>
            <w:r w:rsidRPr="00BF038E">
              <w:rPr>
                <w:rFonts w:ascii="Arial" w:hAnsi="Arial" w:cs="Arial"/>
                <w:bCs/>
                <w:color w:val="333333"/>
              </w:rPr>
              <w:t>Support workforce engagement initiatives</w:t>
            </w:r>
          </w:p>
          <w:p w:rsidR="00BF038E" w:rsidRDefault="00BF038E" w:rsidP="00BF038E">
            <w:pPr>
              <w:ind w:left="252" w:hanging="180"/>
              <w:rPr>
                <w:rFonts w:ascii="Arial" w:hAnsi="Arial" w:cs="Arial"/>
                <w:color w:val="333333"/>
              </w:rPr>
            </w:pPr>
          </w:p>
          <w:p w:rsidR="00BF038E" w:rsidRDefault="00BF038E" w:rsidP="00BF038E">
            <w:pPr>
              <w:ind w:left="252" w:hanging="180"/>
              <w:rPr>
                <w:rFonts w:ascii="Arial" w:hAnsi="Arial" w:cs="Arial"/>
                <w:color w:val="333333"/>
              </w:rPr>
            </w:pPr>
          </w:p>
        </w:tc>
      </w:tr>
      <w:tr w:rsidR="00224F2F" w:rsidRPr="0001758B" w:rsidTr="002570F2">
        <w:tc>
          <w:tcPr>
            <w:tcW w:w="3168" w:type="dxa"/>
          </w:tcPr>
          <w:p w:rsidR="00224F2F" w:rsidRPr="0001758B" w:rsidRDefault="00224F2F" w:rsidP="002570F2">
            <w:pPr>
              <w:spacing w:before="100" w:beforeAutospacing="1"/>
              <w:rPr>
                <w:rFonts w:ascii="Arial" w:hAnsi="Arial" w:cs="Arial"/>
                <w:b/>
                <w:color w:val="333333"/>
              </w:rPr>
            </w:pPr>
            <w:r>
              <w:rPr>
                <w:rFonts w:ascii="Arial" w:hAnsi="Arial" w:cs="Arial"/>
                <w:color w:val="333333"/>
              </w:rPr>
              <w:t>Career &amp; Leadership Development</w:t>
            </w:r>
          </w:p>
        </w:tc>
        <w:tc>
          <w:tcPr>
            <w:tcW w:w="6300" w:type="dxa"/>
          </w:tcPr>
          <w:p w:rsidR="00BF038E" w:rsidRPr="00BF038E" w:rsidRDefault="00BF038E" w:rsidP="00BF038E">
            <w:pPr>
              <w:pStyle w:val="ListParagraph"/>
              <w:numPr>
                <w:ilvl w:val="0"/>
                <w:numId w:val="28"/>
              </w:numPr>
              <w:ind w:left="252" w:hanging="180"/>
              <w:rPr>
                <w:rFonts w:ascii="Arial" w:hAnsi="Arial" w:cs="Arial"/>
                <w:color w:val="333333"/>
              </w:rPr>
            </w:pPr>
            <w:r w:rsidRPr="00BF038E">
              <w:rPr>
                <w:rFonts w:ascii="Arial" w:hAnsi="Arial" w:cs="Arial"/>
                <w:color w:val="333333"/>
              </w:rPr>
              <w:t>Develop and create partnerships with professional organizations to provide employees the opportunity to meet Enterprise and Industry leaders</w:t>
            </w:r>
          </w:p>
          <w:p w:rsidR="00BF038E" w:rsidRPr="00BF038E" w:rsidRDefault="00BF038E" w:rsidP="00BF038E">
            <w:pPr>
              <w:pStyle w:val="ListParagraph"/>
              <w:numPr>
                <w:ilvl w:val="0"/>
                <w:numId w:val="28"/>
              </w:numPr>
              <w:ind w:left="252" w:hanging="180"/>
              <w:rPr>
                <w:rFonts w:ascii="Arial" w:hAnsi="Arial" w:cs="Arial"/>
                <w:color w:val="333333"/>
              </w:rPr>
            </w:pPr>
            <w:r w:rsidRPr="00BF038E">
              <w:rPr>
                <w:rFonts w:ascii="Arial" w:hAnsi="Arial" w:cs="Arial"/>
                <w:color w:val="333333"/>
              </w:rPr>
              <w:t xml:space="preserve">Provide the opportunity for mentoring, and leadership skills development to facilitate the promotion of all members </w:t>
            </w:r>
          </w:p>
          <w:p w:rsidR="00BF038E" w:rsidRDefault="00BF038E" w:rsidP="00BF038E">
            <w:pPr>
              <w:ind w:left="252" w:hanging="180"/>
              <w:rPr>
                <w:rFonts w:ascii="Arial" w:hAnsi="Arial" w:cs="Arial"/>
                <w:color w:val="333333"/>
              </w:rPr>
            </w:pPr>
          </w:p>
        </w:tc>
      </w:tr>
      <w:tr w:rsidR="00224F2F" w:rsidRPr="0001758B" w:rsidTr="002570F2">
        <w:tc>
          <w:tcPr>
            <w:tcW w:w="3168" w:type="dxa"/>
          </w:tcPr>
          <w:p w:rsidR="00224F2F" w:rsidRPr="00CC510A" w:rsidRDefault="00224F2F" w:rsidP="002570F2">
            <w:pPr>
              <w:spacing w:before="100" w:beforeAutospacing="1"/>
              <w:rPr>
                <w:rFonts w:ascii="Arial" w:hAnsi="Arial" w:cs="Arial"/>
                <w:color w:val="333333"/>
              </w:rPr>
            </w:pPr>
            <w:r>
              <w:rPr>
                <w:rFonts w:ascii="Arial" w:hAnsi="Arial" w:cs="Arial"/>
                <w:bCs/>
                <w:color w:val="333333"/>
              </w:rPr>
              <w:t>Networking/Organizational Exposure</w:t>
            </w:r>
          </w:p>
        </w:tc>
        <w:tc>
          <w:tcPr>
            <w:tcW w:w="6300" w:type="dxa"/>
          </w:tcPr>
          <w:p w:rsidR="00BF038E" w:rsidRPr="00BF038E" w:rsidRDefault="00BF038E" w:rsidP="00BF038E">
            <w:pPr>
              <w:pStyle w:val="ListParagraph"/>
              <w:numPr>
                <w:ilvl w:val="0"/>
                <w:numId w:val="28"/>
              </w:numPr>
              <w:spacing w:before="60"/>
              <w:ind w:left="252" w:hanging="180"/>
              <w:rPr>
                <w:rFonts w:ascii="Arial" w:hAnsi="Arial" w:cs="Arial"/>
                <w:color w:val="333333"/>
              </w:rPr>
            </w:pPr>
            <w:r w:rsidRPr="00BF038E">
              <w:rPr>
                <w:rFonts w:ascii="Arial" w:hAnsi="Arial" w:cs="Arial"/>
                <w:color w:val="333333"/>
              </w:rPr>
              <w:t>Provide one resource for employees to network and support their long-term development.</w:t>
            </w:r>
          </w:p>
          <w:p w:rsidR="00BF038E" w:rsidRPr="00BF038E" w:rsidRDefault="00BF038E" w:rsidP="00BF038E">
            <w:pPr>
              <w:pStyle w:val="ListParagraph"/>
              <w:numPr>
                <w:ilvl w:val="0"/>
                <w:numId w:val="28"/>
              </w:numPr>
              <w:spacing w:before="60"/>
              <w:ind w:left="252" w:hanging="180"/>
              <w:rPr>
                <w:rFonts w:ascii="Arial" w:hAnsi="Arial" w:cs="Arial"/>
                <w:color w:val="333333"/>
              </w:rPr>
            </w:pPr>
            <w:r w:rsidRPr="00BF038E">
              <w:rPr>
                <w:rFonts w:ascii="Arial" w:hAnsi="Arial" w:cs="Arial"/>
                <w:color w:val="333333"/>
              </w:rPr>
              <w:t xml:space="preserve">Provide an integrated voice for </w:t>
            </w:r>
            <w:r w:rsidR="0091759F">
              <w:rPr>
                <w:rFonts w:ascii="Arial" w:hAnsi="Arial" w:cs="Arial"/>
                <w:color w:val="333333"/>
              </w:rPr>
              <w:t>its</w:t>
            </w:r>
            <w:r w:rsidRPr="00BF038E">
              <w:rPr>
                <w:rFonts w:ascii="Arial" w:hAnsi="Arial" w:cs="Arial"/>
                <w:color w:val="333333"/>
              </w:rPr>
              <w:t xml:space="preserve"> members</w:t>
            </w:r>
          </w:p>
          <w:p w:rsidR="00BF038E" w:rsidRPr="00BF038E" w:rsidRDefault="00BF038E" w:rsidP="00BF038E">
            <w:pPr>
              <w:pStyle w:val="ListParagraph"/>
              <w:numPr>
                <w:ilvl w:val="0"/>
                <w:numId w:val="28"/>
              </w:numPr>
              <w:spacing w:before="60"/>
              <w:ind w:left="252" w:hanging="180"/>
              <w:rPr>
                <w:rFonts w:ascii="Arial" w:hAnsi="Arial" w:cs="Arial"/>
                <w:color w:val="333333"/>
              </w:rPr>
            </w:pPr>
            <w:r w:rsidRPr="00BF038E">
              <w:rPr>
                <w:rFonts w:ascii="Arial" w:hAnsi="Arial" w:cs="Arial"/>
                <w:color w:val="333333"/>
              </w:rPr>
              <w:t>Coordinate social activities and networking opportunities while promoting value of Hispanic culture</w:t>
            </w:r>
          </w:p>
          <w:p w:rsidR="00BF038E" w:rsidRPr="00BF038E" w:rsidRDefault="00BF038E" w:rsidP="00BF038E">
            <w:pPr>
              <w:pStyle w:val="ListParagraph"/>
              <w:numPr>
                <w:ilvl w:val="0"/>
                <w:numId w:val="28"/>
              </w:numPr>
              <w:spacing w:before="60"/>
              <w:ind w:left="252" w:hanging="180"/>
              <w:rPr>
                <w:rFonts w:ascii="Arial" w:hAnsi="Arial" w:cs="Arial"/>
                <w:color w:val="333333"/>
              </w:rPr>
            </w:pPr>
            <w:r w:rsidRPr="00BF038E">
              <w:rPr>
                <w:rFonts w:ascii="Arial" w:hAnsi="Arial" w:cs="Arial"/>
                <w:color w:val="333333"/>
              </w:rPr>
              <w:t>Facilitate cross-sector and corporate-wide activities</w:t>
            </w:r>
          </w:p>
          <w:p w:rsidR="00BF038E" w:rsidRDefault="00BF038E" w:rsidP="00BF038E">
            <w:pPr>
              <w:spacing w:before="60"/>
              <w:ind w:left="252" w:hanging="180"/>
              <w:rPr>
                <w:rFonts w:ascii="Arial" w:hAnsi="Arial" w:cs="Arial"/>
                <w:color w:val="333333"/>
              </w:rPr>
            </w:pPr>
          </w:p>
          <w:p w:rsidR="00BF038E" w:rsidRDefault="00BF038E" w:rsidP="00BF038E">
            <w:pPr>
              <w:spacing w:before="60"/>
              <w:ind w:left="252" w:hanging="180"/>
              <w:rPr>
                <w:rFonts w:ascii="Arial" w:hAnsi="Arial" w:cs="Arial"/>
                <w:color w:val="333333"/>
              </w:rPr>
            </w:pPr>
          </w:p>
        </w:tc>
      </w:tr>
      <w:tr w:rsidR="00224F2F" w:rsidRPr="0001758B" w:rsidTr="002570F2">
        <w:tc>
          <w:tcPr>
            <w:tcW w:w="3168" w:type="dxa"/>
          </w:tcPr>
          <w:p w:rsidR="00224F2F" w:rsidRPr="00CC510A" w:rsidRDefault="00224F2F" w:rsidP="002570F2">
            <w:pPr>
              <w:spacing w:before="100" w:beforeAutospacing="1"/>
              <w:rPr>
                <w:rFonts w:ascii="Arial" w:hAnsi="Arial" w:cs="Arial"/>
              </w:rPr>
            </w:pPr>
            <w:r>
              <w:rPr>
                <w:rFonts w:ascii="Arial" w:hAnsi="Arial" w:cs="Arial"/>
              </w:rPr>
              <w:lastRenderedPageBreak/>
              <w:t>Recruiting and Retention</w:t>
            </w:r>
          </w:p>
        </w:tc>
        <w:tc>
          <w:tcPr>
            <w:tcW w:w="6300" w:type="dxa"/>
          </w:tcPr>
          <w:p w:rsidR="00BF038E" w:rsidRPr="00BF038E" w:rsidRDefault="00BF038E" w:rsidP="00BF038E">
            <w:pPr>
              <w:pStyle w:val="ListParagraph"/>
              <w:numPr>
                <w:ilvl w:val="0"/>
                <w:numId w:val="28"/>
              </w:numPr>
              <w:ind w:left="252" w:hanging="180"/>
              <w:rPr>
                <w:rFonts w:ascii="Arial" w:hAnsi="Arial" w:cs="Arial"/>
                <w:color w:val="333333"/>
              </w:rPr>
            </w:pPr>
            <w:r w:rsidRPr="00BF038E">
              <w:rPr>
                <w:rFonts w:ascii="Arial" w:hAnsi="Arial" w:cs="Arial"/>
                <w:color w:val="333333"/>
              </w:rPr>
              <w:t xml:space="preserve">Attract and retain Hispanic talent nationally from across colleges and universities, industry and professional organizations. </w:t>
            </w:r>
          </w:p>
          <w:p w:rsidR="00BF038E" w:rsidRPr="00BF038E" w:rsidRDefault="00BF038E" w:rsidP="00BF038E">
            <w:pPr>
              <w:pStyle w:val="ListParagraph"/>
              <w:numPr>
                <w:ilvl w:val="0"/>
                <w:numId w:val="28"/>
              </w:numPr>
              <w:ind w:left="252" w:hanging="180"/>
              <w:rPr>
                <w:rFonts w:ascii="Arial" w:hAnsi="Arial" w:cs="Arial"/>
                <w:color w:val="333333"/>
              </w:rPr>
            </w:pPr>
            <w:r w:rsidRPr="00BF038E">
              <w:rPr>
                <w:rFonts w:ascii="Arial" w:hAnsi="Arial" w:cs="Arial"/>
                <w:color w:val="333333"/>
              </w:rPr>
              <w:t>The cohesive efforts of One Adelante will facilitate in the retention of our skilled diverse workforce</w:t>
            </w:r>
          </w:p>
          <w:p w:rsidR="00BF038E" w:rsidRPr="00BF038E" w:rsidRDefault="00BF038E" w:rsidP="00BF038E">
            <w:pPr>
              <w:pStyle w:val="ListParagraph"/>
              <w:numPr>
                <w:ilvl w:val="0"/>
                <w:numId w:val="28"/>
              </w:numPr>
              <w:ind w:left="252" w:hanging="180"/>
              <w:rPr>
                <w:rFonts w:ascii="Arial" w:hAnsi="Arial" w:cs="Arial"/>
                <w:color w:val="333333"/>
              </w:rPr>
            </w:pPr>
            <w:r w:rsidRPr="00BF038E">
              <w:rPr>
                <w:rFonts w:ascii="Arial" w:hAnsi="Arial" w:cs="Arial"/>
                <w:color w:val="333333"/>
              </w:rPr>
              <w:t xml:space="preserve">Create a forum for minority employees to be recognized </w:t>
            </w:r>
          </w:p>
          <w:p w:rsidR="00BF038E" w:rsidRDefault="00BF038E" w:rsidP="00BF038E">
            <w:pPr>
              <w:ind w:left="252" w:hanging="180"/>
              <w:rPr>
                <w:rFonts w:ascii="Arial" w:hAnsi="Arial" w:cs="Arial"/>
                <w:color w:val="333333"/>
              </w:rPr>
            </w:pPr>
          </w:p>
        </w:tc>
      </w:tr>
      <w:tr w:rsidR="00224F2F" w:rsidRPr="0001758B" w:rsidTr="002570F2">
        <w:tc>
          <w:tcPr>
            <w:tcW w:w="3168" w:type="dxa"/>
          </w:tcPr>
          <w:p w:rsidR="00224F2F" w:rsidRPr="0001758B" w:rsidRDefault="00224F2F" w:rsidP="002570F2">
            <w:pPr>
              <w:spacing w:before="100" w:beforeAutospacing="1"/>
              <w:rPr>
                <w:rFonts w:ascii="Arial" w:hAnsi="Arial" w:cs="Arial"/>
                <w:color w:val="333333"/>
              </w:rPr>
            </w:pPr>
            <w:r>
              <w:rPr>
                <w:rFonts w:ascii="Arial" w:hAnsi="Arial" w:cs="Arial"/>
                <w:color w:val="333333"/>
              </w:rPr>
              <w:t>Community Education and Outreach</w:t>
            </w:r>
          </w:p>
        </w:tc>
        <w:tc>
          <w:tcPr>
            <w:tcW w:w="6300" w:type="dxa"/>
          </w:tcPr>
          <w:p w:rsidR="00BF038E" w:rsidRPr="00BF038E" w:rsidRDefault="00BF038E" w:rsidP="00BF038E">
            <w:pPr>
              <w:pStyle w:val="ListParagraph"/>
              <w:numPr>
                <w:ilvl w:val="0"/>
                <w:numId w:val="28"/>
              </w:numPr>
              <w:ind w:left="252" w:hanging="180"/>
              <w:rPr>
                <w:rFonts w:ascii="Arial" w:hAnsi="Arial" w:cs="Arial"/>
                <w:color w:val="333333"/>
              </w:rPr>
            </w:pPr>
            <w:r w:rsidRPr="00BF038E">
              <w:rPr>
                <w:rFonts w:ascii="Arial" w:hAnsi="Arial" w:cs="Arial"/>
                <w:color w:val="333333"/>
              </w:rPr>
              <w:t xml:space="preserve">Establish Educational Partnerships specifically in the area of STEM. </w:t>
            </w:r>
          </w:p>
          <w:p w:rsidR="00BF038E" w:rsidRPr="00BF038E" w:rsidRDefault="00BF038E" w:rsidP="00BF038E">
            <w:pPr>
              <w:pStyle w:val="ListParagraph"/>
              <w:numPr>
                <w:ilvl w:val="0"/>
                <w:numId w:val="28"/>
              </w:numPr>
              <w:ind w:left="252" w:hanging="180"/>
              <w:rPr>
                <w:rFonts w:ascii="Arial" w:hAnsi="Arial" w:cs="Arial"/>
                <w:color w:val="333333"/>
              </w:rPr>
            </w:pPr>
            <w:r w:rsidRPr="00BF038E">
              <w:rPr>
                <w:rFonts w:ascii="Arial" w:hAnsi="Arial" w:cs="Arial"/>
                <w:color w:val="333333"/>
              </w:rPr>
              <w:t xml:space="preserve">Establish national outreach opportunities </w:t>
            </w:r>
          </w:p>
        </w:tc>
      </w:tr>
      <w:tr w:rsidR="00224F2F" w:rsidRPr="00D6093B" w:rsidTr="002570F2">
        <w:tc>
          <w:tcPr>
            <w:tcW w:w="3168" w:type="dxa"/>
          </w:tcPr>
          <w:p w:rsidR="00224F2F" w:rsidRPr="0001758B" w:rsidRDefault="00224F2F" w:rsidP="002570F2">
            <w:pPr>
              <w:spacing w:before="100" w:beforeAutospacing="1"/>
              <w:rPr>
                <w:rFonts w:ascii="Arial" w:hAnsi="Arial" w:cs="Arial"/>
                <w:color w:val="333333"/>
              </w:rPr>
            </w:pPr>
            <w:r>
              <w:rPr>
                <w:rFonts w:ascii="Arial" w:hAnsi="Arial" w:cs="Arial"/>
                <w:color w:val="333333"/>
              </w:rPr>
              <w:t>Sustainment/Member Involvement</w:t>
            </w:r>
          </w:p>
          <w:p w:rsidR="00224F2F" w:rsidRPr="0001758B" w:rsidRDefault="00224F2F" w:rsidP="002570F2">
            <w:pPr>
              <w:spacing w:before="100" w:beforeAutospacing="1"/>
              <w:rPr>
                <w:rFonts w:ascii="Arial" w:hAnsi="Arial" w:cs="Arial"/>
                <w:b/>
                <w:color w:val="333333"/>
                <w:u w:val="single"/>
              </w:rPr>
            </w:pPr>
          </w:p>
        </w:tc>
        <w:tc>
          <w:tcPr>
            <w:tcW w:w="6300" w:type="dxa"/>
          </w:tcPr>
          <w:p w:rsidR="00BF038E" w:rsidRPr="00BF038E" w:rsidRDefault="00BF038E" w:rsidP="00BF038E">
            <w:pPr>
              <w:pStyle w:val="ListParagraph"/>
              <w:numPr>
                <w:ilvl w:val="0"/>
                <w:numId w:val="28"/>
              </w:numPr>
              <w:ind w:left="252" w:hanging="180"/>
              <w:rPr>
                <w:rFonts w:ascii="Arial" w:hAnsi="Arial" w:cs="Arial"/>
                <w:color w:val="333333"/>
              </w:rPr>
            </w:pPr>
            <w:r w:rsidRPr="00BF038E">
              <w:rPr>
                <w:rFonts w:ascii="Arial" w:hAnsi="Arial" w:cs="Arial"/>
                <w:color w:val="333333"/>
              </w:rPr>
              <w:t>Allows its members to bring their whole self to work</w:t>
            </w:r>
          </w:p>
          <w:p w:rsidR="00BF038E" w:rsidRPr="00BF038E" w:rsidRDefault="00BF038E" w:rsidP="00BF038E">
            <w:pPr>
              <w:pStyle w:val="ListParagraph"/>
              <w:numPr>
                <w:ilvl w:val="0"/>
                <w:numId w:val="28"/>
              </w:numPr>
              <w:spacing w:before="60"/>
              <w:ind w:left="252" w:hanging="180"/>
              <w:rPr>
                <w:rFonts w:ascii="Arial" w:hAnsi="Arial" w:cs="Arial"/>
              </w:rPr>
            </w:pPr>
            <w:r w:rsidRPr="00BF038E">
              <w:rPr>
                <w:rFonts w:ascii="Arial" w:hAnsi="Arial" w:cs="Arial"/>
              </w:rPr>
              <w:t xml:space="preserve">Increase the visibility, development, and recognition of Hispanics </w:t>
            </w:r>
          </w:p>
          <w:p w:rsidR="00BF038E" w:rsidRPr="00D6093B" w:rsidRDefault="00BF038E" w:rsidP="00BA1956">
            <w:pPr>
              <w:pStyle w:val="ListParagraph"/>
              <w:numPr>
                <w:ilvl w:val="0"/>
                <w:numId w:val="28"/>
              </w:numPr>
              <w:spacing w:before="60"/>
              <w:ind w:left="252" w:hanging="180"/>
              <w:rPr>
                <w:rFonts w:ascii="Arial" w:hAnsi="Arial" w:cs="Arial"/>
              </w:rPr>
            </w:pPr>
            <w:r w:rsidRPr="00BF038E">
              <w:rPr>
                <w:rFonts w:ascii="Arial" w:hAnsi="Arial" w:cs="Arial"/>
              </w:rPr>
              <w:t>Be a significant workforce enhancer and developer for NGC</w:t>
            </w:r>
          </w:p>
        </w:tc>
      </w:tr>
    </w:tbl>
    <w:p w:rsidR="008725AB" w:rsidRPr="00867BE8" w:rsidRDefault="00D6093B">
      <w:pPr>
        <w:spacing w:before="100" w:beforeAutospacing="1"/>
        <w:rPr>
          <w:rFonts w:ascii="Arial" w:hAnsi="Arial" w:cs="Arial"/>
          <w:color w:val="333333"/>
        </w:rPr>
      </w:pPr>
      <w:r w:rsidRPr="00867BE8">
        <w:rPr>
          <w:rFonts w:ascii="Arial" w:hAnsi="Arial" w:cs="Arial"/>
          <w:color w:val="333333"/>
        </w:rPr>
        <w:t xml:space="preserve">The One Adelante Employee Resource Group aligns its objectives </w:t>
      </w:r>
      <w:r w:rsidR="00104065" w:rsidRPr="00867BE8">
        <w:rPr>
          <w:rFonts w:ascii="Arial" w:hAnsi="Arial" w:cs="Arial"/>
          <w:color w:val="333333"/>
        </w:rPr>
        <w:t xml:space="preserve">to the office of </w:t>
      </w:r>
      <w:r w:rsidR="00867BE8" w:rsidRPr="00867BE8">
        <w:rPr>
          <w:rFonts w:ascii="Arial" w:hAnsi="Arial" w:cs="Arial"/>
          <w:color w:val="333333"/>
        </w:rPr>
        <w:t>corporate</w:t>
      </w:r>
      <w:r w:rsidR="00104065" w:rsidRPr="00867BE8">
        <w:rPr>
          <w:rFonts w:ascii="Arial" w:hAnsi="Arial" w:cs="Arial"/>
          <w:color w:val="333333"/>
        </w:rPr>
        <w:t xml:space="preserve"> responsibility </w:t>
      </w:r>
      <w:r w:rsidRPr="00867BE8">
        <w:rPr>
          <w:rFonts w:ascii="Arial" w:hAnsi="Arial" w:cs="Arial"/>
          <w:color w:val="333333"/>
        </w:rPr>
        <w:t xml:space="preserve">by analyzing and providing a direct mapping to the corporate strategic objectives.  </w:t>
      </w:r>
      <w:r w:rsidR="008725AB" w:rsidRPr="00867BE8">
        <w:rPr>
          <w:rFonts w:ascii="Arial" w:hAnsi="Arial" w:cs="Arial"/>
          <w:color w:val="333333"/>
        </w:rPr>
        <w:t xml:space="preserve">Below </w:t>
      </w:r>
      <w:r w:rsidR="003F2E4E">
        <w:rPr>
          <w:rFonts w:ascii="Arial" w:hAnsi="Arial" w:cs="Arial"/>
          <w:color w:val="333333"/>
        </w:rPr>
        <w:t>are</w:t>
      </w:r>
      <w:r w:rsidR="008725AB" w:rsidRPr="00867BE8">
        <w:rPr>
          <w:rFonts w:ascii="Arial" w:hAnsi="Arial" w:cs="Arial"/>
          <w:color w:val="333333"/>
        </w:rPr>
        <w:t xml:space="preserve"> the Five Corporate Stratetigic Objectives for Diversity and Inclusion.</w:t>
      </w:r>
    </w:p>
    <w:p w:rsidR="008725AB" w:rsidRDefault="008725AB">
      <w:pPr>
        <w:spacing w:before="100" w:beforeAutospacing="1"/>
        <w:rPr>
          <w:rFonts w:ascii="Arial" w:hAnsi="Arial" w:cs="Arial"/>
          <w:b/>
          <w:color w:val="333333"/>
          <w:u w:val="single"/>
        </w:rPr>
      </w:pPr>
      <w:r w:rsidRPr="008725AB">
        <w:rPr>
          <w:rFonts w:ascii="Arial" w:hAnsi="Arial" w:cs="Arial"/>
          <w:b/>
          <w:color w:val="333333"/>
          <w:u w:val="single"/>
        </w:rPr>
        <w:object w:dxaOrig="7187" w:dyaOrig="5395">
          <v:shape id="_x0000_i1026" type="#_x0000_t75" style="width:421.5pt;height:316.5pt" o:ole="">
            <v:imagedata r:id="rId17" o:title=""/>
          </v:shape>
          <o:OLEObject Type="Embed" ProgID="PowerPoint.Slide.12" ShapeID="_x0000_i1026" DrawAspect="Content" ObjectID="_1461055478" r:id="rId18"/>
        </w:object>
      </w:r>
    </w:p>
    <w:p w:rsidR="00E532BA" w:rsidRDefault="00D6093B" w:rsidP="00E532BA">
      <w:pPr>
        <w:spacing w:before="100" w:beforeAutospacing="1"/>
        <w:rPr>
          <w:rFonts w:ascii="Arial" w:hAnsi="Arial" w:cs="Arial"/>
          <w:b/>
          <w:bCs/>
          <w:kern w:val="32"/>
          <w:sz w:val="32"/>
          <w:szCs w:val="32"/>
        </w:rPr>
      </w:pPr>
      <w:r w:rsidRPr="00867BE8">
        <w:rPr>
          <w:rFonts w:ascii="Arial" w:hAnsi="Arial" w:cs="Arial"/>
          <w:color w:val="333333"/>
        </w:rPr>
        <w:lastRenderedPageBreak/>
        <w:t>A clear representation of how the One Adela</w:t>
      </w:r>
      <w:r w:rsidR="008725AB" w:rsidRPr="00867BE8">
        <w:rPr>
          <w:rFonts w:ascii="Arial" w:hAnsi="Arial" w:cs="Arial"/>
          <w:color w:val="333333"/>
        </w:rPr>
        <w:t>nte organization aligns to the Corporate O</w:t>
      </w:r>
      <w:r w:rsidRPr="00867BE8">
        <w:rPr>
          <w:rFonts w:ascii="Arial" w:hAnsi="Arial" w:cs="Arial"/>
          <w:color w:val="333333"/>
        </w:rPr>
        <w:t>bjectives is delineated below</w:t>
      </w:r>
    </w:p>
    <w:p w:rsidR="002D2DDB" w:rsidRDefault="004743BB" w:rsidP="00867BE8">
      <w:pPr>
        <w:pStyle w:val="Heading1"/>
        <w:ind w:left="360"/>
        <w:rPr>
          <w:sz w:val="28"/>
          <w:szCs w:val="28"/>
        </w:rPr>
      </w:pPr>
      <w:r w:rsidRPr="004743BB">
        <w:rPr>
          <w:noProof/>
          <w:sz w:val="24"/>
          <w:szCs w:val="24"/>
        </w:rPr>
        <w:drawing>
          <wp:inline distT="0" distB="0" distL="0" distR="0">
            <wp:extent cx="6362700" cy="4972050"/>
            <wp:effectExtent l="0" t="0" r="0" b="0"/>
            <wp:docPr id="4"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77051" cy="6505724"/>
                      <a:chOff x="632298" y="121499"/>
                      <a:chExt cx="8377051" cy="6505724"/>
                    </a:xfrm>
                  </a:grpSpPr>
                  <a:sp>
                    <a:nvSpPr>
                      <a:cNvPr id="1026" name="Rectangle 2"/>
                      <a:cNvSpPr>
                        <a:spLocks noChangeArrowheads="1"/>
                      </a:cNvSpPr>
                    </a:nvSpPr>
                    <a:spPr bwMode="auto">
                      <a:xfrm>
                        <a:off x="0" y="0"/>
                        <a:ext cx="9144000" cy="0"/>
                      </a:xfrm>
                      <a:prstGeom prst="rect">
                        <a:avLst/>
                      </a:prstGeom>
                      <a:noFill/>
                      <a:ln w="9525">
                        <a:noFill/>
                        <a:miter lim="800000"/>
                        <a:headEnd/>
                        <a:tailEnd/>
                      </a:ln>
                      <a:effectLst/>
                    </a:spPr>
                    <a:txSp>
                      <a:txBody>
                        <a:bodyPr vert="horz" wrap="none" lIns="91440" tIns="45720" rIns="91440" bIns="45720" numCol="1" anchor="ctr" anchorCtr="0" compatLnSpc="1">
                          <a:prstTxWarp prst="textNoShape">
                            <a:avLst/>
                          </a:prstTxWarp>
                          <a:spAutoFit/>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endParaRPr lang="en-US"/>
                        </a:p>
                      </a:txBody>
                      <a:useSpRect/>
                    </a:txSp>
                  </a:sp>
                  <a:sp>
                    <a:nvSpPr>
                      <a:cNvPr id="7" name="Rectangle 3"/>
                      <a:cNvSpPr>
                        <a:spLocks noChangeArrowheads="1"/>
                      </a:cNvSpPr>
                    </a:nvSpPr>
                    <a:spPr bwMode="auto">
                      <a:xfrm>
                        <a:off x="632298" y="121499"/>
                        <a:ext cx="8377051" cy="1187537"/>
                      </a:xfrm>
                      <a:prstGeom prst="rect">
                        <a:avLst/>
                      </a:prstGeom>
                      <a:noFill/>
                      <a:ln w="9525">
                        <a:noFill/>
                        <a:miter lim="800000"/>
                        <a:headEnd/>
                        <a:tailEnd/>
                      </a:ln>
                      <a:effectLst/>
                    </a:spPr>
                    <a:txSp>
                      <a:txBody>
                        <a:bodyPr anchor="ct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lnSpc>
                              <a:spcPct val="100000"/>
                            </a:lnSpc>
                            <a:spcBef>
                              <a:spcPct val="0"/>
                            </a:spcBef>
                            <a:spcAft>
                              <a:spcPct val="0"/>
                            </a:spcAft>
                            <a:buClrTx/>
                            <a:buFontTx/>
                            <a:buNone/>
                          </a:pPr>
                          <a:r>
                            <a:rPr lang="en-US" sz="2600" dirty="0" smtClean="0">
                              <a:effectLst>
                                <a:outerShdw blurRad="38100" dist="38100" dir="2700000" algn="tl">
                                  <a:srgbClr val="C0C0C0"/>
                                </a:outerShdw>
                              </a:effectLst>
                              <a:latin typeface="Tahoma" pitchFamily="34" charset="0"/>
                            </a:rPr>
                            <a:t>Alignment of Adelante Pillars,</a:t>
                          </a:r>
                        </a:p>
                        <a:p>
                          <a:pPr>
                            <a:lnSpc>
                              <a:spcPct val="100000"/>
                            </a:lnSpc>
                            <a:spcBef>
                              <a:spcPct val="0"/>
                            </a:spcBef>
                            <a:spcAft>
                              <a:spcPct val="0"/>
                            </a:spcAft>
                            <a:buClrTx/>
                            <a:buFontTx/>
                            <a:buNone/>
                          </a:pPr>
                          <a:r>
                            <a:rPr lang="en-US" sz="2600" dirty="0" smtClean="0">
                              <a:effectLst>
                                <a:outerShdw blurRad="38100" dist="38100" dir="2700000" algn="tl">
                                  <a:srgbClr val="C0C0C0"/>
                                </a:outerShdw>
                              </a:effectLst>
                              <a:latin typeface="Tahoma" pitchFamily="34" charset="0"/>
                            </a:rPr>
                            <a:t>Corporate Strategic Objectives, &amp; Culture of Performance</a:t>
                          </a:r>
                        </a:p>
                      </a:txBody>
                      <a:useSpRect/>
                    </a:txSp>
                  </a:sp>
                  <a:pic>
                    <a:nvPicPr>
                      <a:cNvPr id="108" name="Picture 107" descr="Pillar Model.jpg"/>
                      <a:cNvPicPr>
                        <a:picLocks noChangeAspect="1"/>
                      </a:cNvPicPr>
                    </a:nvPicPr>
                    <a:blipFill>
                      <a:blip r:embed="rId19" cstate="print"/>
                      <a:stretch>
                        <a:fillRect/>
                      </a:stretch>
                    </a:blipFill>
                    <a:spPr>
                      <a:xfrm>
                        <a:off x="2000794" y="1369423"/>
                        <a:ext cx="6739708" cy="5257800"/>
                      </a:xfrm>
                      <a:prstGeom prst="rect">
                        <a:avLst/>
                      </a:prstGeom>
                    </a:spPr>
                  </a:pic>
                  <a:sp>
                    <a:nvSpPr>
                      <a:cNvPr id="109" name="Parallelogram 108"/>
                      <a:cNvSpPr/>
                    </a:nvSpPr>
                    <a:spPr bwMode="auto">
                      <a:xfrm rot="20708457">
                        <a:off x="1928203" y="1439452"/>
                        <a:ext cx="3494711" cy="381014"/>
                      </a:xfrm>
                      <a:prstGeom prst="parallelogram">
                        <a:avLst>
                          <a:gd name="adj" fmla="val 22254"/>
                        </a:avLst>
                      </a:prstGeom>
                      <a:solidFill>
                        <a:schemeClr val="tx1">
                          <a:lumMod val="65000"/>
                          <a:lumOff val="35000"/>
                        </a:schemeClr>
                      </a:solidFill>
                      <a:ln w="9525" cap="flat" cmpd="sng" algn="ctr">
                        <a:noFill/>
                        <a:prstDash val="solid"/>
                        <a:round/>
                        <a:headEnd type="none" w="med" len="med"/>
                        <a:tailEnd type="none" w="med" len="med"/>
                      </a:ln>
                      <a:effectLst/>
                      <a:scene3d>
                        <a:camera prst="orthographicFront"/>
                        <a:lightRig rig="threePt" dir="t"/>
                      </a:scene3d>
                      <a:sp3d>
                        <a:bevelT prst="angle"/>
                      </a:sp3d>
                    </a:spPr>
                    <a:txSp>
                      <a:txBody>
                        <a:bodyPr vert="horz" wrap="square" lIns="91440" tIns="45720" rIns="91440" bIns="45720" numCol="1" rtlCol="0" anchor="t" anchorCtr="0" compatLnSpc="1">
                          <a:prstTxWarp prst="textNoShape">
                            <a:avLst/>
                          </a:prstTxWarp>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marL="1582738" marR="0" indent="-381000" algn="l" defTabSz="966788" rtl="0" eaLnBrk="1" fontAlgn="base" latinLnBrk="0" hangingPunct="1">
                            <a:lnSpc>
                              <a:spcPct val="90000"/>
                            </a:lnSpc>
                            <a:spcBef>
                              <a:spcPct val="20000"/>
                            </a:spcBef>
                            <a:spcAft>
                              <a:spcPct val="50000"/>
                            </a:spcAft>
                            <a:buClr>
                              <a:srgbClr val="990000"/>
                            </a:buClr>
                            <a:buSzTx/>
                            <a:buFont typeface="Wingdings" pitchFamily="2" charset="2"/>
                            <a:buChar char="Ø"/>
                            <a:tabLst/>
                          </a:pPr>
                          <a:endParaRPr kumimoji="0" lang="en-US" sz="1600" b="0" i="0" u="none" strike="noStrike" cap="none" normalizeH="0" baseline="0" dirty="0" smtClean="0">
                            <a:ln>
                              <a:noFill/>
                            </a:ln>
                            <a:solidFill>
                              <a:schemeClr val="tx1"/>
                            </a:solidFill>
                            <a:effectLst/>
                            <a:latin typeface="Arial" charset="0"/>
                            <a:cs typeface="Arial" charset="0"/>
                          </a:endParaRPr>
                        </a:p>
                      </a:txBody>
                      <a:useSpRect/>
                    </a:txSp>
                  </a:sp>
                  <a:sp>
                    <a:nvSpPr>
                      <a:cNvPr id="110" name="Parallelogram 109"/>
                      <a:cNvSpPr/>
                    </a:nvSpPr>
                    <a:spPr bwMode="auto">
                      <a:xfrm rot="892980" flipH="1">
                        <a:off x="5207108" y="1446705"/>
                        <a:ext cx="3568398" cy="383236"/>
                      </a:xfrm>
                      <a:prstGeom prst="parallelogram">
                        <a:avLst>
                          <a:gd name="adj" fmla="val 30218"/>
                        </a:avLst>
                      </a:prstGeom>
                      <a:solidFill>
                        <a:schemeClr val="tx1">
                          <a:lumMod val="65000"/>
                          <a:lumOff val="35000"/>
                        </a:schemeClr>
                      </a:solidFill>
                      <a:ln w="9525" cap="flat" cmpd="sng" algn="ctr">
                        <a:noFill/>
                        <a:prstDash val="solid"/>
                        <a:round/>
                        <a:headEnd type="none" w="med" len="med"/>
                        <a:tailEnd type="none" w="med" len="med"/>
                      </a:ln>
                      <a:effectLst/>
                      <a:scene3d>
                        <a:camera prst="orthographicFront"/>
                        <a:lightRig rig="threePt" dir="t"/>
                      </a:scene3d>
                      <a:sp3d>
                        <a:bevelT prst="angle"/>
                      </a:sp3d>
                    </a:spPr>
                    <a:txSp>
                      <a:txBody>
                        <a:bodyPr vert="horz" wrap="square" lIns="91440" tIns="45720" rIns="91440" bIns="45720" numCol="1" rtlCol="0" anchor="t" anchorCtr="0" compatLnSpc="1">
                          <a:prstTxWarp prst="textNoShape">
                            <a:avLst/>
                          </a:prstTxWarp>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marL="1582738" marR="0" indent="-381000" algn="l" defTabSz="966788" rtl="0" eaLnBrk="1" fontAlgn="base" latinLnBrk="0" hangingPunct="1">
                            <a:lnSpc>
                              <a:spcPct val="90000"/>
                            </a:lnSpc>
                            <a:spcBef>
                              <a:spcPct val="20000"/>
                            </a:spcBef>
                            <a:spcAft>
                              <a:spcPct val="50000"/>
                            </a:spcAft>
                            <a:buClr>
                              <a:srgbClr val="990000"/>
                            </a:buClr>
                            <a:buSzTx/>
                            <a:buFont typeface="Wingdings" pitchFamily="2" charset="2"/>
                            <a:buChar char="Ø"/>
                            <a:tabLst/>
                          </a:pPr>
                          <a:endParaRPr kumimoji="0" lang="en-US" sz="1600" b="0" i="0" u="none" strike="noStrike" cap="none" normalizeH="0" baseline="0" smtClean="0">
                            <a:ln>
                              <a:noFill/>
                            </a:ln>
                            <a:solidFill>
                              <a:schemeClr val="tx1"/>
                            </a:solidFill>
                            <a:effectLst/>
                            <a:latin typeface="Arial" charset="0"/>
                            <a:cs typeface="Arial" charset="0"/>
                          </a:endParaRPr>
                        </a:p>
                      </a:txBody>
                      <a:useSpRect/>
                    </a:txSp>
                  </a:sp>
                  <a:sp>
                    <a:nvSpPr>
                      <a:cNvPr id="111" name="Round Diagonal Corner Rectangle 110"/>
                      <a:cNvSpPr/>
                    </a:nvSpPr>
                    <a:spPr>
                      <a:xfrm rot="832166" flipH="1">
                        <a:off x="5314231" y="1222692"/>
                        <a:ext cx="1741847" cy="347329"/>
                      </a:xfrm>
                      <a:prstGeom prst="round2DiagRect">
                        <a:avLst/>
                      </a:prstGeom>
                      <a:noFill/>
                      <a:ln>
                        <a:noFill/>
                      </a:ln>
                    </a:spPr>
                    <a:txSp>
                      <a:txBody>
                        <a:bodyPr wrap="square">
                          <a:spAutoFit/>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lt1"/>
                              </a:solidFill>
                              <a:latin typeface="+mn-lt"/>
                              <a:ea typeface="+mn-ea"/>
                              <a:cs typeface="+mn-cs"/>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lt1"/>
                              </a:solidFill>
                              <a:latin typeface="+mn-lt"/>
                              <a:ea typeface="+mn-ea"/>
                              <a:cs typeface="+mn-cs"/>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lt1"/>
                              </a:solidFill>
                              <a:latin typeface="+mn-lt"/>
                              <a:ea typeface="+mn-ea"/>
                              <a:cs typeface="+mn-cs"/>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lt1"/>
                              </a:solidFill>
                              <a:latin typeface="+mn-lt"/>
                              <a:ea typeface="+mn-ea"/>
                              <a:cs typeface="+mn-cs"/>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lt1"/>
                              </a:solidFill>
                              <a:latin typeface="+mn-lt"/>
                              <a:ea typeface="+mn-ea"/>
                              <a:cs typeface="+mn-cs"/>
                            </a:defRPr>
                          </a:lvl5pPr>
                          <a:lvl6pPr marL="2286000" algn="l" defTabSz="914400" rtl="0" eaLnBrk="1" latinLnBrk="0" hangingPunct="1">
                            <a:defRPr sz="1600" kern="1200">
                              <a:solidFill>
                                <a:schemeClr val="lt1"/>
                              </a:solidFill>
                              <a:latin typeface="+mn-lt"/>
                              <a:ea typeface="+mn-ea"/>
                              <a:cs typeface="+mn-cs"/>
                            </a:defRPr>
                          </a:lvl6pPr>
                          <a:lvl7pPr marL="2743200" algn="l" defTabSz="914400" rtl="0" eaLnBrk="1" latinLnBrk="0" hangingPunct="1">
                            <a:defRPr sz="1600" kern="1200">
                              <a:solidFill>
                                <a:schemeClr val="lt1"/>
                              </a:solidFill>
                              <a:latin typeface="+mn-lt"/>
                              <a:ea typeface="+mn-ea"/>
                              <a:cs typeface="+mn-cs"/>
                            </a:defRPr>
                          </a:lvl7pPr>
                          <a:lvl8pPr marL="3200400" algn="l" defTabSz="914400" rtl="0" eaLnBrk="1" latinLnBrk="0" hangingPunct="1">
                            <a:defRPr sz="1600" kern="1200">
                              <a:solidFill>
                                <a:schemeClr val="lt1"/>
                              </a:solidFill>
                              <a:latin typeface="+mn-lt"/>
                              <a:ea typeface="+mn-ea"/>
                              <a:cs typeface="+mn-cs"/>
                            </a:defRPr>
                          </a:lvl8pPr>
                          <a:lvl9pPr marL="3657600" algn="l" defTabSz="914400" rtl="0" eaLnBrk="1" latinLnBrk="0" hangingPunct="1">
                            <a:defRPr sz="1600" kern="1200">
                              <a:solidFill>
                                <a:schemeClr val="lt1"/>
                              </a:solidFill>
                              <a:latin typeface="+mn-lt"/>
                              <a:ea typeface="+mn-ea"/>
                              <a:cs typeface="+mn-cs"/>
                            </a:defRPr>
                          </a:lvl9pPr>
                        </a:lstStyle>
                        <a:p>
                          <a:pPr algn="ctr">
                            <a:spcBef>
                              <a:spcPts val="600"/>
                            </a:spcBef>
                            <a:spcAft>
                              <a:spcPts val="600"/>
                            </a:spcAft>
                            <a:buClr>
                              <a:srgbClr val="C00000"/>
                            </a:buClr>
                            <a:buNone/>
                          </a:pPr>
                          <a:r>
                            <a:rPr lang="en-US" b="1" dirty="0" smtClean="0">
                              <a:solidFill>
                                <a:srgbClr val="FFCC66"/>
                              </a:solidFill>
                              <a:effectLst>
                                <a:outerShdw blurRad="38100" dist="38100" dir="2700000" algn="tl">
                                  <a:srgbClr val="000000">
                                    <a:alpha val="43137"/>
                                  </a:srgbClr>
                                </a:outerShdw>
                              </a:effectLst>
                              <a:latin typeface="+mn-lt"/>
                            </a:rPr>
                            <a:t>PERFORMANCE</a:t>
                          </a:r>
                        </a:p>
                      </a:txBody>
                      <a:useSpRect/>
                    </a:txSp>
                    <a:style>
                      <a:lnRef idx="0">
                        <a:schemeClr val="accent4"/>
                      </a:lnRef>
                      <a:fillRef idx="3">
                        <a:schemeClr val="accent4"/>
                      </a:fillRef>
                      <a:effectRef idx="3">
                        <a:schemeClr val="accent4"/>
                      </a:effectRef>
                      <a:fontRef idx="minor">
                        <a:schemeClr val="lt1"/>
                      </a:fontRef>
                    </a:style>
                  </a:sp>
                  <a:sp>
                    <a:nvSpPr>
                      <a:cNvPr id="112" name="Round Diagonal Corner Rectangle 111"/>
                      <a:cNvSpPr/>
                    </a:nvSpPr>
                    <a:spPr>
                      <a:xfrm rot="20689922" flipH="1">
                        <a:off x="3793878" y="1185881"/>
                        <a:ext cx="1527487" cy="347329"/>
                      </a:xfrm>
                      <a:prstGeom prst="round2DiagRect">
                        <a:avLst/>
                      </a:prstGeom>
                      <a:noFill/>
                      <a:ln>
                        <a:noFill/>
                      </a:ln>
                    </a:spPr>
                    <a:txSp>
                      <a:txBody>
                        <a:bodyPr wrap="square">
                          <a:spAutoFit/>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lt1"/>
                              </a:solidFill>
                              <a:latin typeface="+mn-lt"/>
                              <a:ea typeface="+mn-ea"/>
                              <a:cs typeface="+mn-cs"/>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lt1"/>
                              </a:solidFill>
                              <a:latin typeface="+mn-lt"/>
                              <a:ea typeface="+mn-ea"/>
                              <a:cs typeface="+mn-cs"/>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lt1"/>
                              </a:solidFill>
                              <a:latin typeface="+mn-lt"/>
                              <a:ea typeface="+mn-ea"/>
                              <a:cs typeface="+mn-cs"/>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lt1"/>
                              </a:solidFill>
                              <a:latin typeface="+mn-lt"/>
                              <a:ea typeface="+mn-ea"/>
                              <a:cs typeface="+mn-cs"/>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lt1"/>
                              </a:solidFill>
                              <a:latin typeface="+mn-lt"/>
                              <a:ea typeface="+mn-ea"/>
                              <a:cs typeface="+mn-cs"/>
                            </a:defRPr>
                          </a:lvl5pPr>
                          <a:lvl6pPr marL="2286000" algn="l" defTabSz="914400" rtl="0" eaLnBrk="1" latinLnBrk="0" hangingPunct="1">
                            <a:defRPr sz="1600" kern="1200">
                              <a:solidFill>
                                <a:schemeClr val="lt1"/>
                              </a:solidFill>
                              <a:latin typeface="+mn-lt"/>
                              <a:ea typeface="+mn-ea"/>
                              <a:cs typeface="+mn-cs"/>
                            </a:defRPr>
                          </a:lvl6pPr>
                          <a:lvl7pPr marL="2743200" algn="l" defTabSz="914400" rtl="0" eaLnBrk="1" latinLnBrk="0" hangingPunct="1">
                            <a:defRPr sz="1600" kern="1200">
                              <a:solidFill>
                                <a:schemeClr val="lt1"/>
                              </a:solidFill>
                              <a:latin typeface="+mn-lt"/>
                              <a:ea typeface="+mn-ea"/>
                              <a:cs typeface="+mn-cs"/>
                            </a:defRPr>
                          </a:lvl7pPr>
                          <a:lvl8pPr marL="3200400" algn="l" defTabSz="914400" rtl="0" eaLnBrk="1" latinLnBrk="0" hangingPunct="1">
                            <a:defRPr sz="1600" kern="1200">
                              <a:solidFill>
                                <a:schemeClr val="lt1"/>
                              </a:solidFill>
                              <a:latin typeface="+mn-lt"/>
                              <a:ea typeface="+mn-ea"/>
                              <a:cs typeface="+mn-cs"/>
                            </a:defRPr>
                          </a:lvl8pPr>
                          <a:lvl9pPr marL="3657600" algn="l" defTabSz="914400" rtl="0" eaLnBrk="1" latinLnBrk="0" hangingPunct="1">
                            <a:defRPr sz="1600" kern="1200">
                              <a:solidFill>
                                <a:schemeClr val="lt1"/>
                              </a:solidFill>
                              <a:latin typeface="+mn-lt"/>
                              <a:ea typeface="+mn-ea"/>
                              <a:cs typeface="+mn-cs"/>
                            </a:defRPr>
                          </a:lvl9pPr>
                        </a:lstStyle>
                        <a:p>
                          <a:pPr algn="ctr">
                            <a:spcBef>
                              <a:spcPts val="600"/>
                            </a:spcBef>
                            <a:spcAft>
                              <a:spcPts val="600"/>
                            </a:spcAft>
                            <a:buClr>
                              <a:srgbClr val="C00000"/>
                            </a:buClr>
                            <a:buNone/>
                          </a:pPr>
                          <a:r>
                            <a:rPr lang="en-US" b="1" dirty="0" smtClean="0">
                              <a:solidFill>
                                <a:srgbClr val="FFCC66"/>
                              </a:solidFill>
                              <a:effectLst>
                                <a:outerShdw blurRad="38100" dist="38100" dir="2700000" algn="tl">
                                  <a:srgbClr val="000000">
                                    <a:alpha val="43137"/>
                                  </a:srgbClr>
                                </a:outerShdw>
                              </a:effectLst>
                              <a:latin typeface="+mn-lt"/>
                            </a:rPr>
                            <a:t>CULTURE OF</a:t>
                          </a:r>
                        </a:p>
                      </a:txBody>
                      <a:useSpRect/>
                    </a:txSp>
                    <a:style>
                      <a:lnRef idx="0">
                        <a:schemeClr val="accent4"/>
                      </a:lnRef>
                      <a:fillRef idx="3">
                        <a:schemeClr val="accent4"/>
                      </a:fillRef>
                      <a:effectRef idx="3">
                        <a:schemeClr val="accent4"/>
                      </a:effectRef>
                      <a:fontRef idx="minor">
                        <a:schemeClr val="lt1"/>
                      </a:fontRef>
                    </a:style>
                  </a:sp>
                  <a:sp>
                    <a:nvSpPr>
                      <a:cNvPr id="113" name="Rectangle 112"/>
                      <a:cNvSpPr/>
                    </a:nvSpPr>
                    <a:spPr bwMode="auto">
                      <a:xfrm>
                        <a:off x="1097629" y="6126777"/>
                        <a:ext cx="904775" cy="486383"/>
                      </a:xfrm>
                      <a:prstGeom prst="rect">
                        <a:avLst/>
                      </a:prstGeom>
                      <a:solidFill>
                        <a:schemeClr val="tx1">
                          <a:lumMod val="65000"/>
                          <a:lumOff val="35000"/>
                        </a:schemeClr>
                      </a:solidFill>
                      <a:ln w="9525" cap="flat" cmpd="sng" algn="ctr">
                        <a:noFill/>
                        <a:prstDash val="solid"/>
                        <a:round/>
                        <a:headEnd type="none" w="med" len="med"/>
                        <a:tailEnd type="none" w="med" len="med"/>
                      </a:ln>
                      <a:effectLst/>
                      <a:scene3d>
                        <a:camera prst="orthographicFront"/>
                        <a:lightRig rig="threePt" dir="t"/>
                      </a:scene3d>
                      <a:sp3d>
                        <a:bevelT prst="angle"/>
                      </a:sp3d>
                    </a:spPr>
                    <a:txSp>
                      <a:txBody>
                        <a:bodyPr vert="horz" wrap="square" lIns="91440" tIns="45720" rIns="91440" bIns="45720" numCol="1" rtlCol="0" anchor="t" anchorCtr="0" compatLnSpc="1">
                          <a:prstTxWarp prst="textNoShape">
                            <a:avLst/>
                          </a:prstTxWarp>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marL="1582738" marR="0" indent="-381000" algn="l" defTabSz="966788" rtl="0" eaLnBrk="1" fontAlgn="base" latinLnBrk="0" hangingPunct="1">
                            <a:lnSpc>
                              <a:spcPct val="90000"/>
                            </a:lnSpc>
                            <a:spcBef>
                              <a:spcPct val="20000"/>
                            </a:spcBef>
                            <a:spcAft>
                              <a:spcPct val="50000"/>
                            </a:spcAft>
                            <a:buClr>
                              <a:srgbClr val="990000"/>
                            </a:buClr>
                            <a:buSzTx/>
                            <a:buFont typeface="Wingdings" pitchFamily="2" charset="2"/>
                            <a:buChar char="Ø"/>
                            <a:tabLst/>
                          </a:pPr>
                          <a:endParaRPr kumimoji="0" lang="en-US" sz="1600" b="0" i="0" u="none" strike="noStrike" cap="none" normalizeH="0" baseline="0" smtClean="0">
                            <a:ln>
                              <a:noFill/>
                            </a:ln>
                            <a:solidFill>
                              <a:schemeClr val="tx1"/>
                            </a:solidFill>
                            <a:effectLst/>
                            <a:latin typeface="Arial" charset="0"/>
                            <a:cs typeface="Arial" charset="0"/>
                          </a:endParaRPr>
                        </a:p>
                      </a:txBody>
                      <a:useSpRect/>
                    </a:txSp>
                  </a:sp>
                  <a:sp>
                    <a:nvSpPr>
                      <a:cNvPr id="114" name="Round Diagonal Corner Rectangle 113"/>
                      <a:cNvSpPr/>
                    </a:nvSpPr>
                    <a:spPr>
                      <a:xfrm>
                        <a:off x="1049502" y="6186708"/>
                        <a:ext cx="1020278" cy="347329"/>
                      </a:xfrm>
                      <a:prstGeom prst="round2DiagRect">
                        <a:avLst/>
                      </a:prstGeom>
                      <a:noFill/>
                      <a:ln>
                        <a:noFill/>
                      </a:ln>
                    </a:spPr>
                    <a:txSp>
                      <a:txBody>
                        <a:bodyPr wrap="square">
                          <a:spAutoFit/>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lt1"/>
                              </a:solidFill>
                              <a:latin typeface="+mn-lt"/>
                              <a:ea typeface="+mn-ea"/>
                              <a:cs typeface="+mn-cs"/>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lt1"/>
                              </a:solidFill>
                              <a:latin typeface="+mn-lt"/>
                              <a:ea typeface="+mn-ea"/>
                              <a:cs typeface="+mn-cs"/>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lt1"/>
                              </a:solidFill>
                              <a:latin typeface="+mn-lt"/>
                              <a:ea typeface="+mn-ea"/>
                              <a:cs typeface="+mn-cs"/>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lt1"/>
                              </a:solidFill>
                              <a:latin typeface="+mn-lt"/>
                              <a:ea typeface="+mn-ea"/>
                              <a:cs typeface="+mn-cs"/>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lt1"/>
                              </a:solidFill>
                              <a:latin typeface="+mn-lt"/>
                              <a:ea typeface="+mn-ea"/>
                              <a:cs typeface="+mn-cs"/>
                            </a:defRPr>
                          </a:lvl5pPr>
                          <a:lvl6pPr marL="2286000" algn="l" defTabSz="914400" rtl="0" eaLnBrk="1" latinLnBrk="0" hangingPunct="1">
                            <a:defRPr sz="1600" kern="1200">
                              <a:solidFill>
                                <a:schemeClr val="lt1"/>
                              </a:solidFill>
                              <a:latin typeface="+mn-lt"/>
                              <a:ea typeface="+mn-ea"/>
                              <a:cs typeface="+mn-cs"/>
                            </a:defRPr>
                          </a:lvl6pPr>
                          <a:lvl7pPr marL="2743200" algn="l" defTabSz="914400" rtl="0" eaLnBrk="1" latinLnBrk="0" hangingPunct="1">
                            <a:defRPr sz="1600" kern="1200">
                              <a:solidFill>
                                <a:schemeClr val="lt1"/>
                              </a:solidFill>
                              <a:latin typeface="+mn-lt"/>
                              <a:ea typeface="+mn-ea"/>
                              <a:cs typeface="+mn-cs"/>
                            </a:defRPr>
                          </a:lvl7pPr>
                          <a:lvl8pPr marL="3200400" algn="l" defTabSz="914400" rtl="0" eaLnBrk="1" latinLnBrk="0" hangingPunct="1">
                            <a:defRPr sz="1600" kern="1200">
                              <a:solidFill>
                                <a:schemeClr val="lt1"/>
                              </a:solidFill>
                              <a:latin typeface="+mn-lt"/>
                              <a:ea typeface="+mn-ea"/>
                              <a:cs typeface="+mn-cs"/>
                            </a:defRPr>
                          </a:lvl8pPr>
                          <a:lvl9pPr marL="3657600" algn="l" defTabSz="914400" rtl="0" eaLnBrk="1" latinLnBrk="0" hangingPunct="1">
                            <a:defRPr sz="1600" kern="1200">
                              <a:solidFill>
                                <a:schemeClr val="lt1"/>
                              </a:solidFill>
                              <a:latin typeface="+mn-lt"/>
                              <a:ea typeface="+mn-ea"/>
                              <a:cs typeface="+mn-cs"/>
                            </a:defRPr>
                          </a:lvl9pPr>
                        </a:lstStyle>
                        <a:p>
                          <a:pPr algn="ctr">
                            <a:spcBef>
                              <a:spcPts val="600"/>
                            </a:spcBef>
                            <a:spcAft>
                              <a:spcPts val="600"/>
                            </a:spcAft>
                            <a:buClr>
                              <a:srgbClr val="C00000"/>
                            </a:buClr>
                            <a:buNone/>
                          </a:pPr>
                          <a:r>
                            <a:rPr lang="en-US" b="1" dirty="0" smtClean="0">
                              <a:solidFill>
                                <a:srgbClr val="FFCC66"/>
                              </a:solidFill>
                              <a:effectLst>
                                <a:outerShdw blurRad="38100" dist="38100" dir="2700000" algn="tl">
                                  <a:srgbClr val="000000">
                                    <a:alpha val="43137"/>
                                  </a:srgbClr>
                                </a:outerShdw>
                              </a:effectLst>
                              <a:latin typeface="+mn-lt"/>
                            </a:rPr>
                            <a:t>VALUES</a:t>
                          </a:r>
                        </a:p>
                      </a:txBody>
                      <a:useSpRect/>
                    </a:txSp>
                    <a:style>
                      <a:lnRef idx="0">
                        <a:schemeClr val="accent4"/>
                      </a:lnRef>
                      <a:fillRef idx="3">
                        <a:schemeClr val="accent4"/>
                      </a:fillRef>
                      <a:effectRef idx="3">
                        <a:schemeClr val="accent4"/>
                      </a:effectRef>
                      <a:fontRef idx="minor">
                        <a:schemeClr val="lt1"/>
                      </a:fontRef>
                    </a:style>
                  </a:sp>
                  <a:sp>
                    <a:nvSpPr>
                      <a:cNvPr id="115" name="Rectangle 114"/>
                      <a:cNvSpPr/>
                    </a:nvSpPr>
                    <a:spPr bwMode="auto">
                      <a:xfrm>
                        <a:off x="1096024" y="2585909"/>
                        <a:ext cx="904775" cy="3540868"/>
                      </a:xfrm>
                      <a:prstGeom prst="rect">
                        <a:avLst/>
                      </a:prstGeom>
                      <a:solidFill>
                        <a:schemeClr val="tx1">
                          <a:lumMod val="65000"/>
                          <a:lumOff val="35000"/>
                        </a:schemeClr>
                      </a:solidFill>
                      <a:ln w="9525" cap="flat" cmpd="sng" algn="ctr">
                        <a:noFill/>
                        <a:prstDash val="solid"/>
                        <a:round/>
                        <a:headEnd type="none" w="med" len="med"/>
                        <a:tailEnd type="none" w="med" len="med"/>
                      </a:ln>
                      <a:effectLst/>
                      <a:scene3d>
                        <a:camera prst="orthographicFront"/>
                        <a:lightRig rig="threePt" dir="t"/>
                      </a:scene3d>
                      <a:sp3d>
                        <a:bevelT prst="angle"/>
                      </a:sp3d>
                    </a:spPr>
                    <a:txSp>
                      <a:txBody>
                        <a:bodyPr vert="horz" wrap="square" lIns="91440" tIns="45720" rIns="91440" bIns="45720" numCol="1" rtlCol="0" anchor="t" anchorCtr="0" compatLnSpc="1">
                          <a:prstTxWarp prst="textNoShape">
                            <a:avLst/>
                          </a:prstTxWarp>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marL="1582738" marR="0" indent="-381000" algn="l" defTabSz="966788" rtl="0" eaLnBrk="1" fontAlgn="base" latinLnBrk="0" hangingPunct="1">
                            <a:lnSpc>
                              <a:spcPct val="90000"/>
                            </a:lnSpc>
                            <a:spcBef>
                              <a:spcPct val="20000"/>
                            </a:spcBef>
                            <a:spcAft>
                              <a:spcPct val="50000"/>
                            </a:spcAft>
                            <a:buClr>
                              <a:srgbClr val="990000"/>
                            </a:buClr>
                            <a:buSzTx/>
                            <a:buFont typeface="Wingdings" pitchFamily="2" charset="2"/>
                            <a:buChar char="Ø"/>
                            <a:tabLst/>
                          </a:pPr>
                          <a:endParaRPr kumimoji="0" lang="en-US" sz="1600" b="0" i="0" u="none" strike="noStrike" cap="none" normalizeH="0" baseline="0" smtClean="0">
                            <a:ln>
                              <a:noFill/>
                            </a:ln>
                            <a:solidFill>
                              <a:schemeClr val="tx1"/>
                            </a:solidFill>
                            <a:effectLst/>
                            <a:latin typeface="Arial" charset="0"/>
                            <a:cs typeface="Arial" charset="0"/>
                          </a:endParaRPr>
                        </a:p>
                      </a:txBody>
                      <a:useSpRect/>
                    </a:txSp>
                  </a:sp>
                  <a:sp>
                    <a:nvSpPr>
                      <a:cNvPr id="116" name="Round Diagonal Corner Rectangle 115"/>
                      <a:cNvSpPr/>
                    </a:nvSpPr>
                    <a:spPr>
                      <a:xfrm>
                        <a:off x="1173027" y="3143520"/>
                        <a:ext cx="694658" cy="2379042"/>
                      </a:xfrm>
                      <a:prstGeom prst="round2DiagRect">
                        <a:avLst/>
                      </a:prstGeom>
                      <a:noFill/>
                      <a:ln>
                        <a:noFill/>
                      </a:ln>
                    </a:spPr>
                    <a:txSp>
                      <a:txBody>
                        <a:bodyPr vert="vert270" wrap="square">
                          <a:spAutoFit/>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lt1"/>
                              </a:solidFill>
                              <a:latin typeface="+mn-lt"/>
                              <a:ea typeface="+mn-ea"/>
                              <a:cs typeface="+mn-cs"/>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lt1"/>
                              </a:solidFill>
                              <a:latin typeface="+mn-lt"/>
                              <a:ea typeface="+mn-ea"/>
                              <a:cs typeface="+mn-cs"/>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lt1"/>
                              </a:solidFill>
                              <a:latin typeface="+mn-lt"/>
                              <a:ea typeface="+mn-ea"/>
                              <a:cs typeface="+mn-cs"/>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lt1"/>
                              </a:solidFill>
                              <a:latin typeface="+mn-lt"/>
                              <a:ea typeface="+mn-ea"/>
                              <a:cs typeface="+mn-cs"/>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lt1"/>
                              </a:solidFill>
                              <a:latin typeface="+mn-lt"/>
                              <a:ea typeface="+mn-ea"/>
                              <a:cs typeface="+mn-cs"/>
                            </a:defRPr>
                          </a:lvl5pPr>
                          <a:lvl6pPr marL="2286000" algn="l" defTabSz="914400" rtl="0" eaLnBrk="1" latinLnBrk="0" hangingPunct="1">
                            <a:defRPr sz="1600" kern="1200">
                              <a:solidFill>
                                <a:schemeClr val="lt1"/>
                              </a:solidFill>
                              <a:latin typeface="+mn-lt"/>
                              <a:ea typeface="+mn-ea"/>
                              <a:cs typeface="+mn-cs"/>
                            </a:defRPr>
                          </a:lvl6pPr>
                          <a:lvl7pPr marL="2743200" algn="l" defTabSz="914400" rtl="0" eaLnBrk="1" latinLnBrk="0" hangingPunct="1">
                            <a:defRPr sz="1600" kern="1200">
                              <a:solidFill>
                                <a:schemeClr val="lt1"/>
                              </a:solidFill>
                              <a:latin typeface="+mn-lt"/>
                              <a:ea typeface="+mn-ea"/>
                              <a:cs typeface="+mn-cs"/>
                            </a:defRPr>
                          </a:lvl7pPr>
                          <a:lvl8pPr marL="3200400" algn="l" defTabSz="914400" rtl="0" eaLnBrk="1" latinLnBrk="0" hangingPunct="1">
                            <a:defRPr sz="1600" kern="1200">
                              <a:solidFill>
                                <a:schemeClr val="lt1"/>
                              </a:solidFill>
                              <a:latin typeface="+mn-lt"/>
                              <a:ea typeface="+mn-ea"/>
                              <a:cs typeface="+mn-cs"/>
                            </a:defRPr>
                          </a:lvl8pPr>
                          <a:lvl9pPr marL="3657600" algn="l" defTabSz="914400" rtl="0" eaLnBrk="1" latinLnBrk="0" hangingPunct="1">
                            <a:defRPr sz="1600" kern="1200">
                              <a:solidFill>
                                <a:schemeClr val="lt1"/>
                              </a:solidFill>
                              <a:latin typeface="+mn-lt"/>
                              <a:ea typeface="+mn-ea"/>
                              <a:cs typeface="+mn-cs"/>
                            </a:defRPr>
                          </a:lvl9pPr>
                        </a:lstStyle>
                        <a:p>
                          <a:pPr algn="ctr">
                            <a:spcBef>
                              <a:spcPts val="0"/>
                            </a:spcBef>
                            <a:spcAft>
                              <a:spcPts val="0"/>
                            </a:spcAft>
                            <a:buClr>
                              <a:srgbClr val="C00000"/>
                            </a:buClr>
                            <a:buNone/>
                          </a:pPr>
                          <a:r>
                            <a:rPr lang="en-US" b="1" dirty="0" smtClean="0">
                              <a:solidFill>
                                <a:srgbClr val="FFCC66"/>
                              </a:solidFill>
                              <a:effectLst>
                                <a:outerShdw blurRad="38100" dist="38100" dir="2700000" algn="tl">
                                  <a:srgbClr val="000000">
                                    <a:alpha val="43137"/>
                                  </a:srgbClr>
                                </a:outerShdw>
                              </a:effectLst>
                              <a:latin typeface="Arial" pitchFamily="34" charset="0"/>
                              <a:cs typeface="Arial" pitchFamily="34" charset="0"/>
                            </a:rPr>
                            <a:t>SUSTAINABLE</a:t>
                          </a:r>
                        </a:p>
                        <a:p>
                          <a:pPr algn="ctr">
                            <a:spcBef>
                              <a:spcPts val="0"/>
                            </a:spcBef>
                            <a:spcAft>
                              <a:spcPts val="0"/>
                            </a:spcAft>
                            <a:buClr>
                              <a:srgbClr val="C00000"/>
                            </a:buClr>
                            <a:buNone/>
                          </a:pPr>
                          <a:r>
                            <a:rPr lang="en-US" b="1" dirty="0" smtClean="0">
                              <a:solidFill>
                                <a:srgbClr val="FFCC66"/>
                              </a:solidFill>
                              <a:effectLst>
                                <a:outerShdw blurRad="38100" dist="38100" dir="2700000" algn="tl">
                                  <a:srgbClr val="000000">
                                    <a:alpha val="43137"/>
                                  </a:srgbClr>
                                </a:outerShdw>
                              </a:effectLst>
                              <a:latin typeface="Arial" pitchFamily="34" charset="0"/>
                              <a:cs typeface="Arial" pitchFamily="34" charset="0"/>
                            </a:rPr>
                            <a:t>PERFORMANCE</a:t>
                          </a:r>
                        </a:p>
                      </a:txBody>
                      <a:useSpRect/>
                    </a:txSp>
                    <a:style>
                      <a:lnRef idx="0">
                        <a:schemeClr val="accent4"/>
                      </a:lnRef>
                      <a:fillRef idx="3">
                        <a:schemeClr val="accent4"/>
                      </a:fillRef>
                      <a:effectRef idx="3">
                        <a:schemeClr val="accent4"/>
                      </a:effectRef>
                      <a:fontRef idx="minor">
                        <a:schemeClr val="lt1"/>
                      </a:fontRef>
                    </a:style>
                  </a:sp>
                  <a:sp>
                    <a:nvSpPr>
                      <a:cNvPr id="117" name="Round Diagonal Corner Rectangle 116"/>
                      <a:cNvSpPr/>
                    </a:nvSpPr>
                    <a:spPr>
                      <a:xfrm>
                        <a:off x="1049504" y="2767046"/>
                        <a:ext cx="991401" cy="469916"/>
                      </a:xfrm>
                      <a:prstGeom prst="round2DiagRect">
                        <a:avLst/>
                      </a:prstGeom>
                      <a:noFill/>
                      <a:ln>
                        <a:noFill/>
                      </a:ln>
                    </a:spPr>
                    <a:txSp>
                      <a:txBody>
                        <a:bodyPr wrap="square">
                          <a:spAutoFit/>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lt1"/>
                              </a:solidFill>
                              <a:latin typeface="+mn-lt"/>
                              <a:ea typeface="+mn-ea"/>
                              <a:cs typeface="+mn-cs"/>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lt1"/>
                              </a:solidFill>
                              <a:latin typeface="+mn-lt"/>
                              <a:ea typeface="+mn-ea"/>
                              <a:cs typeface="+mn-cs"/>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lt1"/>
                              </a:solidFill>
                              <a:latin typeface="+mn-lt"/>
                              <a:ea typeface="+mn-ea"/>
                              <a:cs typeface="+mn-cs"/>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lt1"/>
                              </a:solidFill>
                              <a:latin typeface="+mn-lt"/>
                              <a:ea typeface="+mn-ea"/>
                              <a:cs typeface="+mn-cs"/>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lt1"/>
                              </a:solidFill>
                              <a:latin typeface="+mn-lt"/>
                              <a:ea typeface="+mn-ea"/>
                              <a:cs typeface="+mn-cs"/>
                            </a:defRPr>
                          </a:lvl5pPr>
                          <a:lvl6pPr marL="2286000" algn="l" defTabSz="914400" rtl="0" eaLnBrk="1" latinLnBrk="0" hangingPunct="1">
                            <a:defRPr sz="1600" kern="1200">
                              <a:solidFill>
                                <a:schemeClr val="lt1"/>
                              </a:solidFill>
                              <a:latin typeface="+mn-lt"/>
                              <a:ea typeface="+mn-ea"/>
                              <a:cs typeface="+mn-cs"/>
                            </a:defRPr>
                          </a:lvl6pPr>
                          <a:lvl7pPr marL="2743200" algn="l" defTabSz="914400" rtl="0" eaLnBrk="1" latinLnBrk="0" hangingPunct="1">
                            <a:defRPr sz="1600" kern="1200">
                              <a:solidFill>
                                <a:schemeClr val="lt1"/>
                              </a:solidFill>
                              <a:latin typeface="+mn-lt"/>
                              <a:ea typeface="+mn-ea"/>
                              <a:cs typeface="+mn-cs"/>
                            </a:defRPr>
                          </a:lvl7pPr>
                          <a:lvl8pPr marL="3200400" algn="l" defTabSz="914400" rtl="0" eaLnBrk="1" latinLnBrk="0" hangingPunct="1">
                            <a:defRPr sz="1600" kern="1200">
                              <a:solidFill>
                                <a:schemeClr val="lt1"/>
                              </a:solidFill>
                              <a:latin typeface="+mn-lt"/>
                              <a:ea typeface="+mn-ea"/>
                              <a:cs typeface="+mn-cs"/>
                            </a:defRPr>
                          </a:lvl8pPr>
                          <a:lvl9pPr marL="3657600" algn="l" defTabSz="914400" rtl="0" eaLnBrk="1" latinLnBrk="0" hangingPunct="1">
                            <a:defRPr sz="1600" kern="1200">
                              <a:solidFill>
                                <a:schemeClr val="lt1"/>
                              </a:solidFill>
                              <a:latin typeface="+mn-lt"/>
                              <a:ea typeface="+mn-ea"/>
                              <a:cs typeface="+mn-cs"/>
                            </a:defRPr>
                          </a:lvl9pPr>
                        </a:lstStyle>
                        <a:p>
                          <a:pPr algn="ctr">
                            <a:spcBef>
                              <a:spcPts val="600"/>
                            </a:spcBef>
                            <a:spcAft>
                              <a:spcPts val="600"/>
                            </a:spcAft>
                            <a:buClr>
                              <a:srgbClr val="C00000"/>
                            </a:buClr>
                            <a:buNone/>
                          </a:pPr>
                          <a:r>
                            <a:rPr lang="en-US" sz="1200" b="1" dirty="0" smtClean="0">
                              <a:solidFill>
                                <a:srgbClr val="FFCC66"/>
                              </a:solidFill>
                              <a:effectLst>
                                <a:outerShdw blurRad="38100" dist="38100" dir="2700000" algn="tl">
                                  <a:srgbClr val="000000">
                                    <a:alpha val="43137"/>
                                  </a:srgbClr>
                                </a:outerShdw>
                              </a:effectLst>
                              <a:latin typeface="+mn-lt"/>
                            </a:rPr>
                            <a:t>ONE ADELANTE</a:t>
                          </a:r>
                        </a:p>
                      </a:txBody>
                      <a:useSpRect/>
                    </a:txSp>
                    <a:style>
                      <a:lnRef idx="0">
                        <a:schemeClr val="accent4"/>
                      </a:lnRef>
                      <a:fillRef idx="3">
                        <a:schemeClr val="accent4"/>
                      </a:fillRef>
                      <a:effectRef idx="3">
                        <a:schemeClr val="accent4"/>
                      </a:effectRef>
                      <a:fontRef idx="minor">
                        <a:schemeClr val="lt1"/>
                      </a:fontRef>
                    </a:style>
                  </a:sp>
                  <a:sp>
                    <a:nvSpPr>
                      <a:cNvPr id="118" name="Right Triangle 117"/>
                      <a:cNvSpPr/>
                    </a:nvSpPr>
                    <a:spPr bwMode="auto">
                      <a:xfrm flipH="1">
                        <a:off x="1086394" y="1902823"/>
                        <a:ext cx="917034" cy="692814"/>
                      </a:xfrm>
                      <a:prstGeom prst="rtTriangle">
                        <a:avLst/>
                      </a:prstGeom>
                      <a:solidFill>
                        <a:schemeClr val="tx1">
                          <a:lumMod val="65000"/>
                          <a:lumOff val="35000"/>
                        </a:schemeClr>
                      </a:solidFill>
                      <a:ln w="9525" cap="flat" cmpd="sng" algn="ctr">
                        <a:noFill/>
                        <a:prstDash val="solid"/>
                        <a:round/>
                        <a:headEnd type="none" w="med" len="med"/>
                        <a:tailEnd type="none" w="med" len="med"/>
                      </a:ln>
                      <a:effectLst/>
                      <a:scene3d>
                        <a:camera prst="orthographicFront"/>
                        <a:lightRig rig="threePt" dir="t"/>
                      </a:scene3d>
                      <a:sp3d>
                        <a:bevelT prst="angle"/>
                      </a:sp3d>
                    </a:spPr>
                    <a:txSp>
                      <a:txBody>
                        <a:bodyPr vert="horz" wrap="square" lIns="91440" tIns="45720" rIns="91440" bIns="45720" numCol="1" rtlCol="0" anchor="t" anchorCtr="0" compatLnSpc="1">
                          <a:prstTxWarp prst="textNoShape">
                            <a:avLst/>
                          </a:prstTxWarp>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marL="1582738" marR="0" indent="-381000" algn="l" defTabSz="966788" rtl="0" eaLnBrk="1" fontAlgn="base" latinLnBrk="0" hangingPunct="1">
                            <a:lnSpc>
                              <a:spcPct val="90000"/>
                            </a:lnSpc>
                            <a:spcBef>
                              <a:spcPct val="20000"/>
                            </a:spcBef>
                            <a:spcAft>
                              <a:spcPct val="50000"/>
                            </a:spcAft>
                            <a:buClr>
                              <a:srgbClr val="990000"/>
                            </a:buClr>
                            <a:buSzTx/>
                            <a:buFont typeface="Wingdings" pitchFamily="2" charset="2"/>
                            <a:buChar char="Ø"/>
                            <a:tabLst/>
                          </a:pPr>
                          <a:endParaRPr kumimoji="0" lang="en-US" sz="1600" b="0" i="0" u="none" strike="noStrike" cap="none" normalizeH="0" baseline="0" smtClean="0">
                            <a:ln>
                              <a:noFill/>
                            </a:ln>
                            <a:solidFill>
                              <a:schemeClr val="tx1"/>
                            </a:solidFill>
                            <a:effectLst/>
                            <a:latin typeface="Arial" charset="0"/>
                            <a:cs typeface="Arial" charset="0"/>
                          </a:endParaRPr>
                        </a:p>
                      </a:txBody>
                      <a:useSpRect/>
                    </a:txSp>
                  </a:sp>
                </lc:lockedCanvas>
              </a:graphicData>
            </a:graphic>
          </wp:inline>
        </w:drawing>
      </w:r>
      <w:r w:rsidR="008C4EDA" w:rsidRPr="00D6093B">
        <w:rPr>
          <w:sz w:val="24"/>
          <w:szCs w:val="24"/>
        </w:rPr>
        <w:br w:type="page"/>
      </w:r>
      <w:bookmarkStart w:id="10" w:name="_Toc290505458"/>
      <w:r w:rsidR="00667090" w:rsidRPr="00D6093B">
        <w:rPr>
          <w:sz w:val="28"/>
          <w:szCs w:val="28"/>
        </w:rPr>
        <w:lastRenderedPageBreak/>
        <w:t>One Adelante</w:t>
      </w:r>
      <w:r w:rsidR="00E416A1" w:rsidRPr="00D6093B">
        <w:rPr>
          <w:sz w:val="28"/>
          <w:szCs w:val="28"/>
        </w:rPr>
        <w:t xml:space="preserve"> </w:t>
      </w:r>
      <w:r w:rsidR="008725AB">
        <w:rPr>
          <w:sz w:val="28"/>
          <w:szCs w:val="28"/>
        </w:rPr>
        <w:t>Governance</w:t>
      </w:r>
      <w:r w:rsidR="00E416A1" w:rsidRPr="00D6093B">
        <w:rPr>
          <w:sz w:val="28"/>
          <w:szCs w:val="28"/>
        </w:rPr>
        <w:t xml:space="preserve"> Model</w:t>
      </w:r>
      <w:bookmarkEnd w:id="3"/>
      <w:bookmarkEnd w:id="10"/>
    </w:p>
    <w:p w:rsidR="00E416A1" w:rsidRPr="000B765C" w:rsidRDefault="008725AB" w:rsidP="001F6922">
      <w:pPr>
        <w:pStyle w:val="Heading1"/>
        <w:numPr>
          <w:ilvl w:val="1"/>
          <w:numId w:val="27"/>
        </w:numPr>
        <w:rPr>
          <w:sz w:val="28"/>
          <w:szCs w:val="28"/>
        </w:rPr>
      </w:pPr>
      <w:bookmarkStart w:id="11" w:name="_Toc168885487"/>
      <w:bookmarkStart w:id="12" w:name="_Toc290505459"/>
      <w:r>
        <w:rPr>
          <w:sz w:val="28"/>
          <w:szCs w:val="28"/>
        </w:rPr>
        <w:t>Governance</w:t>
      </w:r>
      <w:r w:rsidR="001E28E9" w:rsidRPr="001E28E9">
        <w:rPr>
          <w:sz w:val="28"/>
          <w:szCs w:val="28"/>
        </w:rPr>
        <w:t xml:space="preserve"> Model Overvie</w:t>
      </w:r>
      <w:r w:rsidR="00E416A1" w:rsidRPr="000B765C">
        <w:rPr>
          <w:sz w:val="28"/>
          <w:szCs w:val="28"/>
        </w:rPr>
        <w:t>w</w:t>
      </w:r>
      <w:bookmarkEnd w:id="11"/>
      <w:bookmarkEnd w:id="12"/>
    </w:p>
    <w:p w:rsidR="00E416A1" w:rsidRPr="00811D96" w:rsidRDefault="00014E9A" w:rsidP="00E416A1">
      <w:pPr>
        <w:rPr>
          <w:rFonts w:ascii="Arial" w:hAnsi="Arial" w:cs="Arial"/>
        </w:rPr>
      </w:pPr>
      <w:r w:rsidRPr="00811D96">
        <w:rPr>
          <w:rFonts w:ascii="Arial" w:hAnsi="Arial" w:cs="Arial"/>
        </w:rPr>
        <w:t xml:space="preserve">The </w:t>
      </w:r>
      <w:r w:rsidR="00667090">
        <w:rPr>
          <w:rFonts w:ascii="Arial" w:hAnsi="Arial" w:cs="Arial"/>
        </w:rPr>
        <w:t>One Adelante</w:t>
      </w:r>
      <w:r w:rsidR="00E416A1" w:rsidRPr="00811D96">
        <w:rPr>
          <w:rFonts w:ascii="Arial" w:hAnsi="Arial" w:cs="Arial"/>
        </w:rPr>
        <w:t xml:space="preserve"> operating</w:t>
      </w:r>
      <w:r w:rsidR="00025870" w:rsidRPr="00811D96">
        <w:rPr>
          <w:rFonts w:ascii="Arial" w:hAnsi="Arial" w:cs="Arial"/>
        </w:rPr>
        <w:t xml:space="preserve"> </w:t>
      </w:r>
      <w:r w:rsidR="00B510EC" w:rsidRPr="00811D96">
        <w:rPr>
          <w:rFonts w:ascii="Arial" w:hAnsi="Arial" w:cs="Arial"/>
        </w:rPr>
        <w:t xml:space="preserve">model </w:t>
      </w:r>
      <w:r w:rsidR="001D356F">
        <w:rPr>
          <w:rFonts w:ascii="Arial" w:hAnsi="Arial" w:cs="Arial"/>
        </w:rPr>
        <w:t>provides governance for the structure of the organization</w:t>
      </w:r>
      <w:r w:rsidR="00751B6C" w:rsidRPr="00811D96">
        <w:rPr>
          <w:rFonts w:ascii="Arial" w:hAnsi="Arial" w:cs="Arial"/>
        </w:rPr>
        <w:t>, the Ent</w:t>
      </w:r>
      <w:r w:rsidR="00924790" w:rsidRPr="00811D96">
        <w:rPr>
          <w:rFonts w:ascii="Arial" w:hAnsi="Arial" w:cs="Arial"/>
        </w:rPr>
        <w:t xml:space="preserve">erprise </w:t>
      </w:r>
      <w:r w:rsidR="001D356F">
        <w:rPr>
          <w:rFonts w:ascii="Arial" w:hAnsi="Arial" w:cs="Arial"/>
        </w:rPr>
        <w:t>Board, the Sector Board, and lastly, the Campus/Region Board in the local areas</w:t>
      </w:r>
      <w:r w:rsidR="00751B6C" w:rsidRPr="00811D96">
        <w:rPr>
          <w:rFonts w:ascii="Arial" w:hAnsi="Arial" w:cs="Arial"/>
        </w:rPr>
        <w:t xml:space="preserve">. </w:t>
      </w:r>
    </w:p>
    <w:p w:rsidR="00014E9A" w:rsidRPr="00811D96" w:rsidRDefault="00014E9A" w:rsidP="00E416A1">
      <w:pPr>
        <w:rPr>
          <w:rFonts w:ascii="Arial" w:hAnsi="Arial" w:cs="Arial"/>
        </w:rPr>
      </w:pPr>
    </w:p>
    <w:p w:rsidR="00E416A1" w:rsidRDefault="00E416A1" w:rsidP="00E416A1">
      <w:pPr>
        <w:rPr>
          <w:rFonts w:ascii="Arial" w:hAnsi="Arial" w:cs="Arial"/>
        </w:rPr>
      </w:pPr>
      <w:r w:rsidRPr="00811D96">
        <w:rPr>
          <w:rFonts w:ascii="Arial" w:hAnsi="Arial" w:cs="Arial"/>
        </w:rPr>
        <w:t>The Ente</w:t>
      </w:r>
      <w:r w:rsidR="00924790" w:rsidRPr="00811D96">
        <w:rPr>
          <w:rFonts w:ascii="Arial" w:hAnsi="Arial" w:cs="Arial"/>
        </w:rPr>
        <w:t xml:space="preserve">rprise Board </w:t>
      </w:r>
      <w:r w:rsidRPr="00811D96">
        <w:rPr>
          <w:rFonts w:ascii="Arial" w:hAnsi="Arial" w:cs="Arial"/>
        </w:rPr>
        <w:t>provides strategic direction for the Enterprise program</w:t>
      </w:r>
      <w:r w:rsidR="00751B6C" w:rsidRPr="00811D96">
        <w:rPr>
          <w:rFonts w:ascii="Arial" w:hAnsi="Arial" w:cs="Arial"/>
        </w:rPr>
        <w:t xml:space="preserve"> while serving as a resource to the </w:t>
      </w:r>
      <w:r w:rsidR="001D356F">
        <w:rPr>
          <w:rFonts w:ascii="Arial" w:hAnsi="Arial" w:cs="Arial"/>
        </w:rPr>
        <w:t xml:space="preserve">Sector and Campus/Region Board.  </w:t>
      </w:r>
      <w:r w:rsidRPr="00811D96">
        <w:rPr>
          <w:rFonts w:ascii="Arial" w:hAnsi="Arial" w:cs="Arial"/>
        </w:rPr>
        <w:t xml:space="preserve">The local groups </w:t>
      </w:r>
      <w:r w:rsidR="002717CC" w:rsidRPr="00811D96">
        <w:rPr>
          <w:rFonts w:ascii="Arial" w:hAnsi="Arial" w:cs="Arial"/>
        </w:rPr>
        <w:t xml:space="preserve">are created and maintained by </w:t>
      </w:r>
      <w:r w:rsidR="001D356F">
        <w:rPr>
          <w:rFonts w:ascii="Arial" w:hAnsi="Arial" w:cs="Arial"/>
        </w:rPr>
        <w:t xml:space="preserve">the Campus/Regions, </w:t>
      </w:r>
      <w:r w:rsidRPr="00811D96">
        <w:rPr>
          <w:rFonts w:ascii="Arial" w:hAnsi="Arial" w:cs="Arial"/>
        </w:rPr>
        <w:t xml:space="preserve">who </w:t>
      </w:r>
      <w:r w:rsidR="00751B6C" w:rsidRPr="00811D96">
        <w:rPr>
          <w:rFonts w:ascii="Arial" w:hAnsi="Arial" w:cs="Arial"/>
        </w:rPr>
        <w:t>implement and carry out the vision of the community goals</w:t>
      </w:r>
      <w:r w:rsidR="002717CC" w:rsidRPr="00811D96">
        <w:rPr>
          <w:rFonts w:ascii="Arial" w:hAnsi="Arial" w:cs="Arial"/>
        </w:rPr>
        <w:t xml:space="preserve">. </w:t>
      </w:r>
    </w:p>
    <w:p w:rsidR="00D02F8E" w:rsidRDefault="00D02F8E" w:rsidP="00E416A1">
      <w:pPr>
        <w:rPr>
          <w:rFonts w:ascii="Arial" w:hAnsi="Arial" w:cs="Arial"/>
        </w:rPr>
      </w:pPr>
    </w:p>
    <w:p w:rsidR="00D02F8E" w:rsidRPr="00D02F8E" w:rsidRDefault="00D02F8E" w:rsidP="00D02F8E">
      <w:pPr>
        <w:jc w:val="center"/>
        <w:rPr>
          <w:rFonts w:ascii="Arial" w:hAnsi="Arial" w:cs="Arial"/>
          <w:b/>
        </w:rPr>
      </w:pPr>
      <w:r w:rsidRPr="00D02F8E">
        <w:rPr>
          <w:rFonts w:ascii="Arial" w:hAnsi="Arial" w:cs="Arial"/>
          <w:b/>
        </w:rPr>
        <w:t>Governance Model Diagram</w:t>
      </w:r>
    </w:p>
    <w:p w:rsidR="001D356F" w:rsidRDefault="001D356F" w:rsidP="00E416A1">
      <w:pPr>
        <w:rPr>
          <w:rFonts w:ascii="Arial" w:hAnsi="Arial" w:cs="Arial"/>
        </w:rPr>
      </w:pPr>
    </w:p>
    <w:p w:rsidR="001D356F" w:rsidRDefault="002D2DDB" w:rsidP="00E416A1">
      <w:r>
        <w:rPr>
          <w:noProof/>
        </w:rPr>
        <w:drawing>
          <wp:inline distT="0" distB="0" distL="0" distR="0">
            <wp:extent cx="5943600" cy="3991332"/>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5943600" cy="3991332"/>
                    </a:xfrm>
                    <a:prstGeom prst="rect">
                      <a:avLst/>
                    </a:prstGeom>
                    <a:noFill/>
                    <a:ln w="9525">
                      <a:noFill/>
                      <a:miter lim="800000"/>
                      <a:headEnd/>
                      <a:tailEnd/>
                    </a:ln>
                  </pic:spPr>
                </pic:pic>
              </a:graphicData>
            </a:graphic>
          </wp:inline>
        </w:drawing>
      </w:r>
    </w:p>
    <w:p w:rsidR="00A830F9" w:rsidRPr="00811D96" w:rsidRDefault="00A830F9" w:rsidP="00E416A1">
      <w:pPr>
        <w:rPr>
          <w:rFonts w:ascii="Arial" w:hAnsi="Arial" w:cs="Arial"/>
        </w:rPr>
      </w:pPr>
    </w:p>
    <w:p w:rsidR="00E416A1" w:rsidRPr="000B765C" w:rsidRDefault="00E416A1" w:rsidP="001F6922">
      <w:pPr>
        <w:pStyle w:val="Heading1"/>
        <w:numPr>
          <w:ilvl w:val="2"/>
          <w:numId w:val="27"/>
        </w:numPr>
        <w:rPr>
          <w:sz w:val="28"/>
          <w:szCs w:val="28"/>
        </w:rPr>
      </w:pPr>
      <w:bookmarkStart w:id="13" w:name="_Toc168885489"/>
      <w:bookmarkStart w:id="14" w:name="_Toc290505460"/>
      <w:r w:rsidRPr="000B765C">
        <w:rPr>
          <w:sz w:val="28"/>
          <w:szCs w:val="28"/>
        </w:rPr>
        <w:lastRenderedPageBreak/>
        <w:t xml:space="preserve">Enterprise </w:t>
      </w:r>
      <w:bookmarkEnd w:id="13"/>
      <w:r w:rsidR="001D356F" w:rsidRPr="000B765C">
        <w:rPr>
          <w:sz w:val="28"/>
          <w:szCs w:val="28"/>
        </w:rPr>
        <w:t>Organizational Structure</w:t>
      </w:r>
      <w:bookmarkEnd w:id="14"/>
    </w:p>
    <w:p w:rsidR="00E416A1" w:rsidRPr="00811D96" w:rsidRDefault="002D2DDB" w:rsidP="00E416A1">
      <w:pPr>
        <w:rPr>
          <w:rFonts w:ascii="Arial" w:hAnsi="Arial" w:cs="Arial"/>
          <w:u w:val="single"/>
        </w:rPr>
      </w:pPr>
      <w:r>
        <w:rPr>
          <w:rFonts w:ascii="Arial" w:hAnsi="Arial" w:cs="Arial"/>
          <w:noProof/>
          <w:u w:val="single"/>
        </w:rPr>
        <w:drawing>
          <wp:inline distT="0" distB="0" distL="0" distR="0">
            <wp:extent cx="5308812" cy="3911600"/>
            <wp:effectExtent l="0" t="0" r="6138" b="0"/>
            <wp:docPr id="10"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157099" cy="6090084"/>
                      <a:chOff x="747204" y="133165"/>
                      <a:chExt cx="8157099" cy="6090084"/>
                    </a:xfrm>
                  </a:grpSpPr>
                  <a:sp>
                    <a:nvSpPr>
                      <a:cNvPr id="147" name="Rectangle 2"/>
                      <a:cNvSpPr txBox="1">
                        <a:spLocks noChangeArrowheads="1"/>
                      </a:cNvSpPr>
                    </a:nvSpPr>
                    <a:spPr>
                      <a:xfrm>
                        <a:off x="747204" y="133165"/>
                        <a:ext cx="6781800" cy="781235"/>
                      </a:xfrm>
                      <a:prstGeom prst="rect">
                        <a:avLst/>
                      </a:prstGeom>
                    </a:spPr>
                    <a:txSp>
                      <a:txBody>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marL="0" marR="0" lvl="0" indent="0" defTabSz="914400" eaLnBrk="0" latinLnBrk="0" hangingPunct="0">
                            <a:lnSpc>
                              <a:spcPct val="100000"/>
                            </a:lnSpc>
                            <a:spcBef>
                              <a:spcPct val="0"/>
                            </a:spcBef>
                            <a:spcAft>
                              <a:spcPct val="0"/>
                            </a:spcAft>
                            <a:buClrTx/>
                            <a:buSzTx/>
                            <a:buNone/>
                            <a:tabLst/>
                            <a:defRPr/>
                          </a:pPr>
                          <a:r>
                            <a:rPr lang="en-US" sz="3000" dirty="0" smtClean="0">
                              <a:effectLst>
                                <a:outerShdw blurRad="38100" dist="38100" dir="2700000" algn="tl">
                                  <a:srgbClr val="C0C0C0"/>
                                </a:outerShdw>
                              </a:effectLst>
                              <a:latin typeface="Tahoma" pitchFamily="34" charset="0"/>
                            </a:rPr>
                            <a:t>Organizational Structure – Enterprise</a:t>
                          </a:r>
                          <a:endParaRPr lang="en-US" sz="3000" dirty="0">
                            <a:effectLst>
                              <a:outerShdw blurRad="38100" dist="38100" dir="2700000" algn="tl">
                                <a:srgbClr val="C0C0C0"/>
                              </a:outerShdw>
                            </a:effectLst>
                            <a:latin typeface="Tahoma" pitchFamily="34" charset="0"/>
                          </a:endParaRPr>
                        </a:p>
                      </a:txBody>
                      <a:useSpRect/>
                    </a:txSp>
                  </a:sp>
                  <a:sp>
                    <a:nvSpPr>
                      <a:cNvPr id="38" name="Text Box 5"/>
                      <a:cNvSpPr txBox="1">
                        <a:spLocks noChangeArrowheads="1"/>
                      </a:cNvSpPr>
                    </a:nvSpPr>
                    <a:spPr bwMode="auto">
                      <a:xfrm>
                        <a:off x="3389750" y="4682661"/>
                        <a:ext cx="2462212" cy="307975"/>
                      </a:xfrm>
                      <a:prstGeom prst="rect">
                        <a:avLst/>
                      </a:prstGeom>
                      <a:noFill/>
                      <a:ln w="9525">
                        <a:noFill/>
                        <a:miter lim="800000"/>
                        <a:headEnd/>
                        <a:tailEnd/>
                      </a:ln>
                    </a:spPr>
                    <a:txSp>
                      <a:txBody>
                        <a:bodyPr wrap="none" lIns="96652" tIns="48327" rIns="96652" bIns="48327">
                          <a:spAutoFit/>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lgn="ctr" defTabSz="966788"/>
                          <a:r>
                            <a:rPr lang="en-US" sz="1400" b="1" dirty="0">
                              <a:cs typeface="Arial" charset="0"/>
                            </a:rPr>
                            <a:t>Campus Committee Chairs</a:t>
                          </a:r>
                        </a:p>
                      </a:txBody>
                      <a:useSpRect/>
                    </a:txSp>
                  </a:sp>
                  <a:sp>
                    <a:nvSpPr>
                      <a:cNvPr id="39" name="Rectangle 38"/>
                      <a:cNvSpPr>
                        <a:spLocks noChangeArrowheads="1"/>
                      </a:cNvSpPr>
                    </a:nvSpPr>
                    <a:spPr bwMode="auto">
                      <a:xfrm>
                        <a:off x="1053852" y="4596737"/>
                        <a:ext cx="7850451" cy="1626512"/>
                      </a:xfrm>
                      <a:prstGeom prst="rect">
                        <a:avLst/>
                      </a:prstGeom>
                      <a:solidFill>
                        <a:srgbClr val="FFECB2"/>
                      </a:solidFill>
                      <a:ln w="9525" algn="ctr">
                        <a:solidFill>
                          <a:schemeClr val="tx1"/>
                        </a:solidFill>
                        <a:miter lim="800000"/>
                        <a:headEnd/>
                        <a:tailEnd/>
                      </a:ln>
                    </a:spPr>
                    <a:txSp>
                      <a:txBody>
                        <a:bodyPr wrap="none" lIns="96652" tIns="48327" rIns="96652" bIns="48327" anchor="ct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lgn="ctr" defTabSz="966788"/>
                          <a:endParaRPr lang="en-US" sz="2500" dirty="0">
                            <a:cs typeface="Arial" charset="0"/>
                          </a:endParaRPr>
                        </a:p>
                      </a:txBody>
                      <a:useSpRect/>
                    </a:txSp>
                  </a:sp>
                  <a:sp>
                    <a:nvSpPr>
                      <a:cNvPr id="40" name="Rectangle 39"/>
                      <a:cNvSpPr>
                        <a:spLocks noChangeArrowheads="1"/>
                      </a:cNvSpPr>
                    </a:nvSpPr>
                    <a:spPr bwMode="auto">
                      <a:xfrm>
                        <a:off x="1055172" y="1073669"/>
                        <a:ext cx="5237162" cy="3436187"/>
                      </a:xfrm>
                      <a:prstGeom prst="rect">
                        <a:avLst/>
                      </a:prstGeom>
                      <a:solidFill>
                        <a:srgbClr val="FFECB2"/>
                      </a:solidFill>
                      <a:ln w="12700" algn="ctr">
                        <a:solidFill>
                          <a:schemeClr val="tx1"/>
                        </a:solidFill>
                        <a:miter lim="800000"/>
                        <a:headEnd/>
                        <a:tailEnd/>
                      </a:ln>
                    </a:spPr>
                    <a:txSp>
                      <a:txBody>
                        <a:bodyPr wrap="none" lIns="102180" tIns="51090" rIns="102180" bIns="51090" anchor="ct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lgn="ctr" defTabSz="1022350"/>
                          <a:endParaRPr lang="en-US" sz="2600" dirty="0">
                            <a:cs typeface="Arial" charset="0"/>
                          </a:endParaRPr>
                        </a:p>
                      </a:txBody>
                      <a:useSpRect/>
                    </a:txSp>
                  </a:sp>
                  <a:sp>
                    <a:nvSpPr>
                      <a:cNvPr id="41" name="Rectangle 40"/>
                      <a:cNvSpPr>
                        <a:spLocks noChangeArrowheads="1"/>
                      </a:cNvSpPr>
                    </a:nvSpPr>
                    <a:spPr bwMode="auto">
                      <a:xfrm>
                        <a:off x="1132959" y="3451170"/>
                        <a:ext cx="1619250" cy="855662"/>
                      </a:xfrm>
                      <a:prstGeom prst="rect">
                        <a:avLst/>
                      </a:prstGeom>
                      <a:gradFill rotWithShape="1">
                        <a:gsLst>
                          <a:gs pos="0">
                            <a:srgbClr val="FF9900">
                              <a:gamma/>
                              <a:shade val="46275"/>
                              <a:invGamma/>
                            </a:srgbClr>
                          </a:gs>
                          <a:gs pos="100000">
                            <a:srgbClr val="FF9900"/>
                          </a:gs>
                        </a:gsLst>
                        <a:lin ang="5400000" scaled="1"/>
                      </a:gradFill>
                      <a:ln w="12700" algn="ctr">
                        <a:noFill/>
                        <a:miter lim="800000"/>
                        <a:headEnd type="none" w="sm" len="sm"/>
                        <a:tailEnd type="none" w="sm" len="sm"/>
                      </a:ln>
                      <a:effectLst>
                        <a:outerShdw dist="107763" dir="2700000" algn="ctr" rotWithShape="0">
                          <a:schemeClr val="bg2">
                            <a:alpha val="50000"/>
                          </a:schemeClr>
                        </a:outerShdw>
                      </a:effectLst>
                    </a:spPr>
                    <a:txSp>
                      <a:txBody>
                        <a:bodyPr wrap="none" lIns="96661" tIns="48331" rIns="96661" bIns="48331"/>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lgn="r" defTabSz="966788">
                            <a:buNone/>
                            <a:defRPr/>
                          </a:pPr>
                          <a:endParaRPr lang="en-US" sz="1000" b="1" dirty="0">
                            <a:solidFill>
                              <a:schemeClr val="bg1"/>
                            </a:solidFill>
                          </a:endParaRPr>
                        </a:p>
                        <a:p>
                          <a:pPr algn="r" defTabSz="966788">
                            <a:defRPr/>
                          </a:pPr>
                          <a:endParaRPr lang="en-US" sz="1000" b="1" dirty="0">
                            <a:solidFill>
                              <a:schemeClr val="bg1"/>
                            </a:solidFill>
                          </a:endParaRPr>
                        </a:p>
                      </a:txBody>
                      <a:useSpRect/>
                    </a:txSp>
                  </a:sp>
                  <a:sp>
                    <a:nvSpPr>
                      <a:cNvPr id="42" name="Rectangle 41"/>
                      <a:cNvSpPr>
                        <a:spLocks noChangeArrowheads="1"/>
                      </a:cNvSpPr>
                    </a:nvSpPr>
                    <a:spPr bwMode="auto">
                      <a:xfrm>
                        <a:off x="4660384" y="3444820"/>
                        <a:ext cx="1544638" cy="887412"/>
                      </a:xfrm>
                      <a:prstGeom prst="rect">
                        <a:avLst/>
                      </a:prstGeom>
                      <a:gradFill rotWithShape="1">
                        <a:gsLst>
                          <a:gs pos="0">
                            <a:srgbClr val="FF9900">
                              <a:gamma/>
                              <a:shade val="46275"/>
                              <a:invGamma/>
                            </a:srgbClr>
                          </a:gs>
                          <a:gs pos="100000">
                            <a:srgbClr val="FF9900"/>
                          </a:gs>
                        </a:gsLst>
                        <a:lin ang="5400000" scaled="1"/>
                      </a:gradFill>
                      <a:ln w="12700" algn="ctr">
                        <a:noFill/>
                        <a:miter lim="800000"/>
                        <a:headEnd type="none" w="sm" len="sm"/>
                        <a:tailEnd type="none" w="sm" len="sm"/>
                      </a:ln>
                      <a:effectLst>
                        <a:outerShdw dist="107763" dir="2700000" algn="ctr" rotWithShape="0">
                          <a:schemeClr val="bg2">
                            <a:alpha val="50000"/>
                          </a:schemeClr>
                        </a:outerShdw>
                      </a:effectLst>
                    </a:spPr>
                    <a:txSp>
                      <a:txBody>
                        <a:bodyPr wrap="none" lIns="96661" tIns="48331" rIns="96661" bIns="48331"/>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lgn="r" defTabSz="966788">
                            <a:defRPr/>
                          </a:pPr>
                          <a:endParaRPr lang="en-US" sz="1000" b="1" dirty="0">
                            <a:solidFill>
                              <a:schemeClr val="bg1"/>
                            </a:solidFill>
                          </a:endParaRPr>
                        </a:p>
                      </a:txBody>
                      <a:useSpRect/>
                    </a:txSp>
                  </a:sp>
                  <a:sp>
                    <a:nvSpPr>
                      <a:cNvPr id="43" name="Rectangle 42"/>
                      <a:cNvSpPr>
                        <a:spLocks noChangeArrowheads="1"/>
                      </a:cNvSpPr>
                    </a:nvSpPr>
                    <a:spPr bwMode="auto">
                      <a:xfrm>
                        <a:off x="4654034" y="2408182"/>
                        <a:ext cx="1530350" cy="917575"/>
                      </a:xfrm>
                      <a:prstGeom prst="rect">
                        <a:avLst/>
                      </a:prstGeom>
                      <a:gradFill rotWithShape="1">
                        <a:gsLst>
                          <a:gs pos="0">
                            <a:srgbClr val="FF9900">
                              <a:gamma/>
                              <a:shade val="46275"/>
                              <a:invGamma/>
                            </a:srgbClr>
                          </a:gs>
                          <a:gs pos="100000">
                            <a:srgbClr val="FF9900"/>
                          </a:gs>
                        </a:gsLst>
                        <a:lin ang="5400000" scaled="1"/>
                      </a:gradFill>
                      <a:ln w="12700" algn="ctr">
                        <a:noFill/>
                        <a:miter lim="800000"/>
                        <a:headEnd type="none" w="sm" len="sm"/>
                        <a:tailEnd type="none" w="sm" len="sm"/>
                      </a:ln>
                      <a:effectLst>
                        <a:outerShdw dist="107763" dir="2700000" algn="ctr" rotWithShape="0">
                          <a:schemeClr val="bg2">
                            <a:alpha val="50000"/>
                          </a:schemeClr>
                        </a:outerShdw>
                      </a:effectLst>
                    </a:spPr>
                    <a:txSp>
                      <a:txBody>
                        <a:bodyPr wrap="none" lIns="96661" tIns="48331" rIns="96661" bIns="48331"/>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lgn="r" defTabSz="966788">
                            <a:buNone/>
                            <a:defRPr/>
                          </a:pPr>
                          <a:endParaRPr lang="en-US" sz="1000" b="1" dirty="0"/>
                        </a:p>
                      </a:txBody>
                      <a:useSpRect/>
                    </a:txSp>
                  </a:sp>
                  <a:sp>
                    <a:nvSpPr>
                      <a:cNvPr id="44" name="Rectangle 43"/>
                      <a:cNvSpPr>
                        <a:spLocks noChangeArrowheads="1"/>
                      </a:cNvSpPr>
                    </a:nvSpPr>
                    <a:spPr bwMode="auto">
                      <a:xfrm>
                        <a:off x="2839522" y="2408183"/>
                        <a:ext cx="1681162" cy="935038"/>
                      </a:xfrm>
                      <a:prstGeom prst="rect">
                        <a:avLst/>
                      </a:prstGeom>
                      <a:gradFill rotWithShape="1">
                        <a:gsLst>
                          <a:gs pos="0">
                            <a:srgbClr val="FF9900">
                              <a:gamma/>
                              <a:shade val="46275"/>
                              <a:invGamma/>
                            </a:srgbClr>
                          </a:gs>
                          <a:gs pos="100000">
                            <a:srgbClr val="FF9900"/>
                          </a:gs>
                        </a:gsLst>
                        <a:lin ang="5400000" scaled="1"/>
                      </a:gradFill>
                      <a:ln w="12700" algn="ctr">
                        <a:noFill/>
                        <a:miter lim="800000"/>
                        <a:headEnd type="none" w="sm" len="sm"/>
                        <a:tailEnd type="none" w="sm" len="sm"/>
                      </a:ln>
                      <a:effectLst>
                        <a:outerShdw dist="107763" dir="2700000" algn="ctr" rotWithShape="0">
                          <a:schemeClr val="bg2">
                            <a:alpha val="50000"/>
                          </a:schemeClr>
                        </a:outerShdw>
                      </a:effectLst>
                    </a:spPr>
                    <a:txSp>
                      <a:txBody>
                        <a:bodyPr wrap="none" lIns="96661" tIns="48331" rIns="96661" bIns="48331"/>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lgn="r" defTabSz="966788">
                            <a:buNone/>
                            <a:defRPr/>
                          </a:pPr>
                          <a:endParaRPr lang="en-US" sz="1000" b="1" dirty="0">
                            <a:solidFill>
                              <a:schemeClr val="bg1"/>
                            </a:solidFill>
                          </a:endParaRPr>
                        </a:p>
                      </a:txBody>
                      <a:useSpRect/>
                    </a:txSp>
                  </a:sp>
                  <a:sp>
                    <a:nvSpPr>
                      <a:cNvPr id="46" name="Rectangle 45"/>
                      <a:cNvSpPr>
                        <a:spLocks noChangeArrowheads="1"/>
                      </a:cNvSpPr>
                    </a:nvSpPr>
                    <a:spPr bwMode="auto">
                      <a:xfrm>
                        <a:off x="2858572" y="3449582"/>
                        <a:ext cx="1660525" cy="889000"/>
                      </a:xfrm>
                      <a:prstGeom prst="rect">
                        <a:avLst/>
                      </a:prstGeom>
                      <a:gradFill rotWithShape="1">
                        <a:gsLst>
                          <a:gs pos="0">
                            <a:srgbClr val="FF9900">
                              <a:gamma/>
                              <a:shade val="46275"/>
                              <a:invGamma/>
                            </a:srgbClr>
                          </a:gs>
                          <a:gs pos="100000">
                            <a:srgbClr val="FF9900"/>
                          </a:gs>
                        </a:gsLst>
                        <a:lin ang="5400000" scaled="1"/>
                      </a:gradFill>
                      <a:ln w="12700" algn="ctr">
                        <a:noFill/>
                        <a:miter lim="800000"/>
                        <a:headEnd type="none" w="sm" len="sm"/>
                        <a:tailEnd type="none" w="sm" len="sm"/>
                      </a:ln>
                      <a:effectLst>
                        <a:outerShdw dist="107763" dir="2700000" algn="ctr" rotWithShape="0">
                          <a:schemeClr val="bg2">
                            <a:alpha val="50000"/>
                          </a:schemeClr>
                        </a:outerShdw>
                      </a:effectLst>
                    </a:spPr>
                    <a:txSp>
                      <a:txBody>
                        <a:bodyPr wrap="none" lIns="96661" tIns="48331" rIns="96661" bIns="48331"/>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lgn="r" defTabSz="966788">
                            <a:buNone/>
                            <a:defRPr/>
                          </a:pPr>
                          <a:endParaRPr lang="en-US" sz="1000" b="1" dirty="0">
                            <a:solidFill>
                              <a:schemeClr val="bg1"/>
                            </a:solidFill>
                          </a:endParaRPr>
                        </a:p>
                      </a:txBody>
                      <a:useSpRect/>
                    </a:txSp>
                  </a:sp>
                  <a:sp>
                    <a:nvSpPr>
                      <a:cNvPr id="47" name="Text Box 23"/>
                      <a:cNvSpPr txBox="1">
                        <a:spLocks noChangeArrowheads="1"/>
                      </a:cNvSpPr>
                    </a:nvSpPr>
                    <a:spPr bwMode="auto">
                      <a:xfrm>
                        <a:off x="4374527" y="4606361"/>
                        <a:ext cx="1360575" cy="291495"/>
                      </a:xfrm>
                      <a:prstGeom prst="rect">
                        <a:avLst/>
                      </a:prstGeom>
                      <a:noFill/>
                      <a:ln w="9525">
                        <a:noFill/>
                        <a:miter lim="800000"/>
                        <a:headEnd/>
                        <a:tailEnd/>
                      </a:ln>
                    </a:spPr>
                    <a:txSp>
                      <a:txBody>
                        <a:bodyPr wrap="none" lIns="96652" tIns="48326" rIns="96652" bIns="48326">
                          <a:spAutoFit/>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lgn="ctr" defTabSz="966788">
                            <a:buNone/>
                          </a:pPr>
                          <a:r>
                            <a:rPr lang="en-US" sz="1400" b="1" dirty="0" smtClean="0">
                              <a:solidFill>
                                <a:schemeClr val="accent1">
                                  <a:lumMod val="50000"/>
                                </a:schemeClr>
                              </a:solidFill>
                              <a:cs typeface="Arial" charset="0"/>
                            </a:rPr>
                            <a:t>Sector Chairs</a:t>
                          </a:r>
                          <a:endParaRPr lang="en-US" sz="1400" b="1" dirty="0">
                            <a:solidFill>
                              <a:schemeClr val="accent1">
                                <a:lumMod val="50000"/>
                              </a:schemeClr>
                            </a:solidFill>
                            <a:cs typeface="Arial" charset="0"/>
                          </a:endParaRPr>
                        </a:p>
                      </a:txBody>
                      <a:useSpRect/>
                    </a:txSp>
                  </a:sp>
                  <a:sp>
                    <a:nvSpPr>
                      <a:cNvPr id="50" name="TextBox 49"/>
                      <a:cNvSpPr txBox="1"/>
                    </a:nvSpPr>
                    <a:spPr>
                      <a:xfrm>
                        <a:off x="3653760" y="2614582"/>
                        <a:ext cx="840088" cy="230832"/>
                      </a:xfrm>
                      <a:prstGeom prst="rect">
                        <a:avLst/>
                      </a:prstGeom>
                      <a:noFill/>
                    </a:spPr>
                    <a:txSp>
                      <a:txBody>
                        <a:bodyPr wrap="square" rtlCol="0">
                          <a:spAutoFit/>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buNone/>
                          </a:pPr>
                          <a:r>
                            <a:rPr lang="en-US" sz="1000" b="1" dirty="0" smtClean="0">
                              <a:solidFill>
                                <a:schemeClr val="bg1"/>
                              </a:solidFill>
                            </a:rPr>
                            <a:t>Secretary</a:t>
                          </a:r>
                          <a:endParaRPr lang="en-US" sz="1000" b="1" dirty="0">
                            <a:solidFill>
                              <a:schemeClr val="bg1"/>
                            </a:solidFill>
                          </a:endParaRPr>
                        </a:p>
                      </a:txBody>
                      <a:useSpRect/>
                    </a:txSp>
                  </a:sp>
                  <a:sp>
                    <a:nvSpPr>
                      <a:cNvPr id="52" name="TextBox 51"/>
                      <a:cNvSpPr txBox="1"/>
                    </a:nvSpPr>
                    <a:spPr>
                      <a:xfrm>
                        <a:off x="1802289" y="3657451"/>
                        <a:ext cx="937071" cy="369332"/>
                      </a:xfrm>
                      <a:prstGeom prst="rect">
                        <a:avLst/>
                      </a:prstGeom>
                      <a:noFill/>
                    </a:spPr>
                    <a:txSp>
                      <a:txBody>
                        <a:bodyPr wrap="square" rtlCol="0">
                          <a:spAutoFit/>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buNone/>
                          </a:pPr>
                          <a:r>
                            <a:rPr lang="en-US" sz="1000" b="1" dirty="0" smtClean="0">
                              <a:solidFill>
                                <a:schemeClr val="bg1"/>
                              </a:solidFill>
                            </a:rPr>
                            <a:t>Awards &amp; Recognition</a:t>
                          </a:r>
                          <a:endParaRPr lang="en-US" sz="1000" b="1" dirty="0">
                            <a:solidFill>
                              <a:schemeClr val="bg1"/>
                            </a:solidFill>
                          </a:endParaRPr>
                        </a:p>
                      </a:txBody>
                      <a:useSpRect/>
                    </a:txSp>
                  </a:sp>
                  <a:sp>
                    <a:nvSpPr>
                      <a:cNvPr id="57" name="TextBox 56"/>
                      <a:cNvSpPr txBox="1"/>
                    </a:nvSpPr>
                    <a:spPr>
                      <a:xfrm>
                        <a:off x="5385577" y="3643597"/>
                        <a:ext cx="808601" cy="369332"/>
                      </a:xfrm>
                      <a:prstGeom prst="rect">
                        <a:avLst/>
                      </a:prstGeom>
                      <a:noFill/>
                    </a:spPr>
                    <a:txSp>
                      <a:txBody>
                        <a:bodyPr wrap="square" rtlCol="0">
                          <a:spAutoFit/>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buNone/>
                          </a:pPr>
                          <a:r>
                            <a:rPr lang="en-US" sz="1000" b="1" dirty="0" smtClean="0">
                              <a:solidFill>
                                <a:schemeClr val="bg1"/>
                              </a:solidFill>
                            </a:rPr>
                            <a:t>Strategic Planning</a:t>
                          </a:r>
                          <a:endParaRPr lang="en-US" sz="1000" b="1" dirty="0">
                            <a:solidFill>
                              <a:schemeClr val="bg1"/>
                            </a:solidFill>
                          </a:endParaRPr>
                        </a:p>
                      </a:txBody>
                      <a:useSpRect/>
                    </a:txSp>
                  </a:sp>
                  <a:sp>
                    <a:nvSpPr>
                      <a:cNvPr id="61" name="Rectangle 60"/>
                      <a:cNvSpPr/>
                    </a:nvSpPr>
                    <a:spPr bwMode="auto">
                      <a:xfrm>
                        <a:off x="4770879" y="2513979"/>
                        <a:ext cx="559220" cy="725475"/>
                      </a:xfrm>
                      <a:prstGeom prst="rect">
                        <a:avLst/>
                      </a:prstGeom>
                      <a:solidFill>
                        <a:schemeClr val="tx1"/>
                      </a:solidFill>
                      <a:ln w="9525" cap="flat" cmpd="sng" algn="ctr">
                        <a:noFill/>
                        <a:prstDash val="solid"/>
                        <a:round/>
                        <a:headEnd type="none" w="med" len="med"/>
                        <a:tailEnd type="none" w="med" len="med"/>
                      </a:ln>
                      <a:effectLst/>
                    </a:spPr>
                    <a:txSp>
                      <a:txBody>
                        <a:bodyPr vert="horz" wrap="square" lIns="91440" tIns="45720" rIns="91440" bIns="45720" numCol="1" rtlCol="0" anchor="t" anchorCtr="0" compatLnSpc="1">
                          <a:prstTxWarp prst="textNoShape">
                            <a:avLst/>
                          </a:prstTxWarp>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marL="1582738" marR="0" indent="-381000" algn="l" defTabSz="966788" rtl="0" eaLnBrk="1" fontAlgn="base" latinLnBrk="0" hangingPunct="1">
                            <a:lnSpc>
                              <a:spcPct val="90000"/>
                            </a:lnSpc>
                            <a:spcBef>
                              <a:spcPct val="20000"/>
                            </a:spcBef>
                            <a:spcAft>
                              <a:spcPct val="50000"/>
                            </a:spcAft>
                            <a:buClr>
                              <a:srgbClr val="990000"/>
                            </a:buClr>
                            <a:buSzTx/>
                            <a:buFont typeface="Wingdings" pitchFamily="2" charset="2"/>
                            <a:buChar char="Ø"/>
                            <a:tabLst/>
                          </a:pPr>
                          <a:endParaRPr kumimoji="0" lang="en-US" sz="1600" b="0" i="0" u="none" strike="noStrike" cap="none" normalizeH="0" baseline="0" dirty="0" smtClean="0">
                            <a:ln>
                              <a:noFill/>
                            </a:ln>
                            <a:solidFill>
                              <a:schemeClr val="tx1"/>
                            </a:solidFill>
                            <a:effectLst/>
                            <a:latin typeface="Arial" charset="0"/>
                            <a:cs typeface="Arial" charset="0"/>
                          </a:endParaRPr>
                        </a:p>
                      </a:txBody>
                      <a:useSpRect/>
                    </a:txSp>
                  </a:sp>
                  <a:sp>
                    <a:nvSpPr>
                      <a:cNvPr id="63" name="TextBox 62"/>
                      <a:cNvSpPr txBox="1"/>
                    </a:nvSpPr>
                    <a:spPr>
                      <a:xfrm>
                        <a:off x="5423364" y="2608285"/>
                        <a:ext cx="784670" cy="230832"/>
                      </a:xfrm>
                      <a:prstGeom prst="rect">
                        <a:avLst/>
                      </a:prstGeom>
                      <a:noFill/>
                    </a:spPr>
                    <a:txSp>
                      <a:txBody>
                        <a:bodyPr wrap="square" rtlCol="0">
                          <a:spAutoFit/>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buNone/>
                          </a:pPr>
                          <a:r>
                            <a:rPr lang="en-US" sz="1000" b="1" dirty="0" smtClean="0">
                              <a:solidFill>
                                <a:schemeClr val="bg1"/>
                              </a:solidFill>
                            </a:rPr>
                            <a:t>Treasurer</a:t>
                          </a:r>
                          <a:endParaRPr lang="en-US" sz="1000" b="1" dirty="0">
                            <a:solidFill>
                              <a:schemeClr val="bg1"/>
                            </a:solidFill>
                          </a:endParaRPr>
                        </a:p>
                      </a:txBody>
                      <a:useSpRect/>
                    </a:txSp>
                  </a:sp>
                  <a:sp>
                    <a:nvSpPr>
                      <a:cNvPr id="65" name="Rectangle 64"/>
                      <a:cNvSpPr>
                        <a:spLocks noChangeArrowheads="1"/>
                      </a:cNvSpPr>
                    </a:nvSpPr>
                    <a:spPr bwMode="auto">
                      <a:xfrm>
                        <a:off x="2856346" y="1419025"/>
                        <a:ext cx="1617663" cy="920750"/>
                      </a:xfrm>
                      <a:prstGeom prst="rect">
                        <a:avLst/>
                      </a:prstGeom>
                      <a:gradFill rotWithShape="1">
                        <a:gsLst>
                          <a:gs pos="0">
                            <a:srgbClr val="FF9900">
                              <a:gamma/>
                              <a:shade val="46275"/>
                              <a:invGamma/>
                            </a:srgbClr>
                          </a:gs>
                          <a:gs pos="100000">
                            <a:srgbClr val="FF9900"/>
                          </a:gs>
                        </a:gsLst>
                        <a:lin ang="5400000" scaled="1"/>
                      </a:gradFill>
                      <a:ln w="12700" algn="ctr">
                        <a:noFill/>
                        <a:miter lim="800000"/>
                        <a:headEnd type="none" w="sm" len="sm"/>
                        <a:tailEnd type="none" w="sm" len="sm"/>
                      </a:ln>
                      <a:effectLst>
                        <a:outerShdw dist="107763" dir="2700000" algn="ctr" rotWithShape="0">
                          <a:schemeClr val="bg2">
                            <a:alpha val="50000"/>
                          </a:schemeClr>
                        </a:outerShdw>
                      </a:effectLst>
                    </a:spPr>
                    <a:txSp>
                      <a:txBody>
                        <a:bodyPr wrap="none" lIns="96661" tIns="48331" rIns="96661" bIns="48331"/>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lgn="r" defTabSz="966788">
                            <a:buNone/>
                            <a:defRPr/>
                          </a:pPr>
                          <a:endParaRPr lang="en-US" sz="1000" b="1" dirty="0">
                            <a:solidFill>
                              <a:schemeClr val="bg1"/>
                            </a:solidFill>
                          </a:endParaRPr>
                        </a:p>
                      </a:txBody>
                      <a:useSpRect/>
                    </a:txSp>
                  </a:sp>
                  <a:sp>
                    <a:nvSpPr>
                      <a:cNvPr id="66" name="TextBox 65"/>
                      <a:cNvSpPr txBox="1"/>
                    </a:nvSpPr>
                    <a:spPr>
                      <a:xfrm>
                        <a:off x="3721565" y="1719991"/>
                        <a:ext cx="627233" cy="230832"/>
                      </a:xfrm>
                      <a:prstGeom prst="rect">
                        <a:avLst/>
                      </a:prstGeom>
                      <a:noFill/>
                    </a:spPr>
                    <a:txSp>
                      <a:txBody>
                        <a:bodyPr wrap="square" rtlCol="0">
                          <a:spAutoFit/>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buNone/>
                          </a:pPr>
                          <a:r>
                            <a:rPr lang="en-US" sz="1000" b="1" dirty="0" smtClean="0">
                              <a:solidFill>
                                <a:schemeClr val="bg1"/>
                              </a:solidFill>
                            </a:rPr>
                            <a:t>Chair</a:t>
                          </a:r>
                          <a:endParaRPr lang="en-US" sz="1000" b="1" dirty="0">
                            <a:solidFill>
                              <a:schemeClr val="bg1"/>
                            </a:solidFill>
                          </a:endParaRPr>
                        </a:p>
                      </a:txBody>
                      <a:useSpRect/>
                    </a:txSp>
                  </a:sp>
                  <a:sp>
                    <a:nvSpPr>
                      <a:cNvPr id="68" name="Rectangle 67"/>
                      <a:cNvSpPr/>
                    </a:nvSpPr>
                    <a:spPr bwMode="auto">
                      <a:xfrm>
                        <a:off x="2905491" y="1518971"/>
                        <a:ext cx="559220" cy="725475"/>
                      </a:xfrm>
                      <a:prstGeom prst="rect">
                        <a:avLst/>
                      </a:prstGeom>
                      <a:solidFill>
                        <a:schemeClr val="tx1"/>
                      </a:solidFill>
                      <a:ln w="9525" cap="flat" cmpd="sng" algn="ctr">
                        <a:noFill/>
                        <a:prstDash val="solid"/>
                        <a:round/>
                        <a:headEnd type="none" w="med" len="med"/>
                        <a:tailEnd type="none" w="med" len="med"/>
                      </a:ln>
                      <a:effectLst/>
                    </a:spPr>
                    <a:txSp>
                      <a:txBody>
                        <a:bodyPr vert="horz" wrap="square" lIns="91440" tIns="45720" rIns="91440" bIns="45720" numCol="1" rtlCol="0" anchor="t" anchorCtr="0" compatLnSpc="1">
                          <a:prstTxWarp prst="textNoShape">
                            <a:avLst/>
                          </a:prstTxWarp>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marL="1582738" marR="0" indent="-381000" algn="l" defTabSz="966788" rtl="0" eaLnBrk="1" fontAlgn="base" latinLnBrk="0" hangingPunct="1">
                            <a:lnSpc>
                              <a:spcPct val="90000"/>
                            </a:lnSpc>
                            <a:spcBef>
                              <a:spcPct val="20000"/>
                            </a:spcBef>
                            <a:spcAft>
                              <a:spcPct val="50000"/>
                            </a:spcAft>
                            <a:buClr>
                              <a:srgbClr val="990000"/>
                            </a:buClr>
                            <a:buSzTx/>
                            <a:buFont typeface="Wingdings" pitchFamily="2" charset="2"/>
                            <a:buChar char="Ø"/>
                            <a:tabLst/>
                          </a:pPr>
                          <a:endParaRPr kumimoji="0" lang="en-US" sz="1600" b="0" i="0" u="none" strike="noStrike" cap="none" normalizeH="0" baseline="0" dirty="0" smtClean="0">
                            <a:ln>
                              <a:noFill/>
                            </a:ln>
                            <a:solidFill>
                              <a:schemeClr val="tx1"/>
                            </a:solidFill>
                            <a:effectLst/>
                            <a:latin typeface="Arial" charset="0"/>
                            <a:cs typeface="Arial" charset="0"/>
                          </a:endParaRPr>
                        </a:p>
                      </a:txBody>
                      <a:useSpRect/>
                    </a:txSp>
                  </a:sp>
                  <a:sp>
                    <a:nvSpPr>
                      <a:cNvPr id="71" name="Rectangle 70"/>
                      <a:cNvSpPr/>
                    </a:nvSpPr>
                    <a:spPr bwMode="auto">
                      <a:xfrm>
                        <a:off x="2973567" y="2492568"/>
                        <a:ext cx="560479" cy="802304"/>
                      </a:xfrm>
                      <a:prstGeom prst="rect">
                        <a:avLst/>
                      </a:prstGeom>
                      <a:solidFill>
                        <a:schemeClr val="tx1"/>
                      </a:solidFill>
                      <a:ln w="9525" cap="flat" cmpd="sng" algn="ctr">
                        <a:noFill/>
                        <a:prstDash val="solid"/>
                        <a:round/>
                        <a:headEnd type="none" w="med" len="med"/>
                        <a:tailEnd type="none" w="med" len="med"/>
                      </a:ln>
                      <a:effectLst/>
                    </a:spPr>
                    <a:txSp>
                      <a:txBody>
                        <a:bodyPr vert="horz" wrap="square" lIns="91440" tIns="45720" rIns="91440" bIns="45720" numCol="1" rtlCol="0" anchor="t" anchorCtr="0" compatLnSpc="1">
                          <a:prstTxWarp prst="textNoShape">
                            <a:avLst/>
                          </a:prstTxWarp>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marL="1582738" marR="0" indent="-381000" algn="l" defTabSz="966788" rtl="0" eaLnBrk="1" fontAlgn="base" latinLnBrk="0" hangingPunct="1">
                            <a:lnSpc>
                              <a:spcPct val="90000"/>
                            </a:lnSpc>
                            <a:spcBef>
                              <a:spcPct val="20000"/>
                            </a:spcBef>
                            <a:spcAft>
                              <a:spcPct val="50000"/>
                            </a:spcAft>
                            <a:buClr>
                              <a:srgbClr val="990000"/>
                            </a:buClr>
                            <a:buSzTx/>
                            <a:buFont typeface="Wingdings" pitchFamily="2" charset="2"/>
                            <a:buChar char="Ø"/>
                            <a:tabLst/>
                          </a:pPr>
                          <a:endParaRPr kumimoji="0" lang="en-US" sz="1600" b="0" i="0" u="none" strike="noStrike" cap="none" normalizeH="0" baseline="0" dirty="0" smtClean="0">
                            <a:ln>
                              <a:noFill/>
                            </a:ln>
                            <a:solidFill>
                              <a:schemeClr val="tx1"/>
                            </a:solidFill>
                            <a:effectLst/>
                            <a:latin typeface="Arial" charset="0"/>
                            <a:cs typeface="Arial" charset="0"/>
                          </a:endParaRPr>
                        </a:p>
                      </a:txBody>
                      <a:useSpRect/>
                    </a:txSp>
                  </a:sp>
                  <a:sp>
                    <a:nvSpPr>
                      <a:cNvPr id="78" name="Rectangle 77"/>
                      <a:cNvSpPr>
                        <a:spLocks noChangeArrowheads="1"/>
                      </a:cNvSpPr>
                    </a:nvSpPr>
                    <a:spPr bwMode="auto">
                      <a:xfrm>
                        <a:off x="1096429" y="2406214"/>
                        <a:ext cx="1681162" cy="935038"/>
                      </a:xfrm>
                      <a:prstGeom prst="rect">
                        <a:avLst/>
                      </a:prstGeom>
                      <a:gradFill rotWithShape="1">
                        <a:gsLst>
                          <a:gs pos="0">
                            <a:srgbClr val="FF9900">
                              <a:gamma/>
                              <a:shade val="46275"/>
                              <a:invGamma/>
                            </a:srgbClr>
                          </a:gs>
                          <a:gs pos="100000">
                            <a:srgbClr val="FF9900"/>
                          </a:gs>
                        </a:gsLst>
                        <a:lin ang="5400000" scaled="1"/>
                      </a:gradFill>
                      <a:ln w="12700" algn="ctr">
                        <a:noFill/>
                        <a:miter lim="800000"/>
                        <a:headEnd type="none" w="sm" len="sm"/>
                        <a:tailEnd type="none" w="sm" len="sm"/>
                      </a:ln>
                      <a:effectLst>
                        <a:outerShdw dist="107763" dir="2700000" algn="ctr" rotWithShape="0">
                          <a:schemeClr val="bg2">
                            <a:alpha val="50000"/>
                          </a:schemeClr>
                        </a:outerShdw>
                      </a:effectLst>
                    </a:spPr>
                    <a:txSp>
                      <a:txBody>
                        <a:bodyPr wrap="none" lIns="96661" tIns="48331" rIns="96661" bIns="48331"/>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lgn="r" defTabSz="966788">
                            <a:buNone/>
                            <a:defRPr/>
                          </a:pPr>
                          <a:endParaRPr lang="en-US" sz="1000" b="1" dirty="0">
                            <a:solidFill>
                              <a:schemeClr val="bg1"/>
                            </a:solidFill>
                          </a:endParaRPr>
                        </a:p>
                      </a:txBody>
                      <a:useSpRect/>
                    </a:txSp>
                  </a:sp>
                  <a:sp>
                    <a:nvSpPr>
                      <a:cNvPr id="79" name="TextBox 78"/>
                      <a:cNvSpPr txBox="1"/>
                    </a:nvSpPr>
                    <a:spPr>
                      <a:xfrm>
                        <a:off x="1910667" y="2612613"/>
                        <a:ext cx="840088" cy="230832"/>
                      </a:xfrm>
                      <a:prstGeom prst="rect">
                        <a:avLst/>
                      </a:prstGeom>
                      <a:noFill/>
                    </a:spPr>
                    <a:txSp>
                      <a:txBody>
                        <a:bodyPr wrap="square" rtlCol="0">
                          <a:spAutoFit/>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buNone/>
                          </a:pPr>
                          <a:r>
                            <a:rPr lang="en-US" sz="1000" b="1" dirty="0" smtClean="0">
                              <a:solidFill>
                                <a:schemeClr val="bg1"/>
                              </a:solidFill>
                            </a:rPr>
                            <a:t>Vice Chair</a:t>
                          </a:r>
                          <a:endParaRPr lang="en-US" sz="1000" b="1" dirty="0">
                            <a:solidFill>
                              <a:schemeClr val="bg1"/>
                            </a:solidFill>
                          </a:endParaRPr>
                        </a:p>
                      </a:txBody>
                      <a:useSpRect/>
                    </a:txSp>
                  </a:sp>
                  <a:sp>
                    <a:nvSpPr>
                      <a:cNvPr id="83" name="TextBox 82"/>
                      <a:cNvSpPr txBox="1"/>
                    </a:nvSpPr>
                    <a:spPr>
                      <a:xfrm>
                        <a:off x="3405637" y="3798357"/>
                        <a:ext cx="1216681" cy="230832"/>
                      </a:xfrm>
                      <a:prstGeom prst="rect">
                        <a:avLst/>
                      </a:prstGeom>
                      <a:noFill/>
                    </a:spPr>
                    <a:txSp>
                      <a:txBody>
                        <a:bodyPr wrap="square" rtlCol="0">
                          <a:spAutoFit/>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buNone/>
                          </a:pPr>
                          <a:r>
                            <a:rPr lang="en-US" sz="1000" b="1" dirty="0" smtClean="0">
                              <a:solidFill>
                                <a:schemeClr val="bg1"/>
                              </a:solidFill>
                            </a:rPr>
                            <a:t>Communications</a:t>
                          </a:r>
                          <a:endParaRPr lang="en-US" sz="1000" b="1" dirty="0">
                            <a:solidFill>
                              <a:schemeClr val="bg1"/>
                            </a:solidFill>
                          </a:endParaRPr>
                        </a:p>
                      </a:txBody>
                      <a:useSpRect/>
                    </a:txSp>
                  </a:sp>
                  <a:sp>
                    <a:nvSpPr>
                      <a:cNvPr id="85" name="Rectangle 26"/>
                      <a:cNvSpPr>
                        <a:spLocks noChangeArrowheads="1"/>
                      </a:cNvSpPr>
                    </a:nvSpPr>
                    <a:spPr bwMode="auto">
                      <a:xfrm>
                        <a:off x="2287356" y="4899533"/>
                        <a:ext cx="1066800" cy="1084263"/>
                      </a:xfrm>
                      <a:prstGeom prst="rect">
                        <a:avLst/>
                      </a:prstGeom>
                      <a:gradFill rotWithShape="1">
                        <a:gsLst>
                          <a:gs pos="0">
                            <a:srgbClr val="FF9900">
                              <a:gamma/>
                              <a:shade val="46275"/>
                              <a:invGamma/>
                            </a:srgbClr>
                          </a:gs>
                          <a:gs pos="100000">
                            <a:srgbClr val="FF9900"/>
                          </a:gs>
                        </a:gsLst>
                        <a:lin ang="5400000" scaled="1"/>
                      </a:gradFill>
                      <a:ln w="28575">
                        <a:noFill/>
                        <a:miter lim="800000"/>
                        <a:headEnd type="none" w="sm" len="sm"/>
                        <a:tailEnd type="none" w="sm" len="sm"/>
                      </a:ln>
                      <a:effectLst>
                        <a:outerShdw dist="107763" dir="2700000" algn="ctr" rotWithShape="0">
                          <a:schemeClr val="bg2">
                            <a:alpha val="50000"/>
                          </a:schemeClr>
                        </a:outerShdw>
                      </a:effectLst>
                    </a:spPr>
                    <a:txSp>
                      <a:txBody>
                        <a:bodyPr wrap="none" lIns="96661" tIns="48331" rIns="96661" bIns="48331"/>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lgn="ctr" defTabSz="966788">
                            <a:lnSpc>
                              <a:spcPct val="100000"/>
                            </a:lnSpc>
                            <a:spcBef>
                              <a:spcPct val="0"/>
                            </a:spcBef>
                            <a:spcAft>
                              <a:spcPct val="0"/>
                            </a:spcAft>
                            <a:buClrTx/>
                            <a:buFontTx/>
                            <a:buNone/>
                          </a:pPr>
                          <a:r>
                            <a:rPr lang="en-US" sz="1000" b="1" dirty="0" smtClean="0">
                              <a:solidFill>
                                <a:schemeClr val="bg1"/>
                              </a:solidFill>
                            </a:rPr>
                            <a:t>NGAS</a:t>
                          </a:r>
                          <a:endParaRPr lang="en-US" sz="1300" b="1" dirty="0">
                            <a:solidFill>
                              <a:schemeClr val="bg1"/>
                            </a:solidFill>
                          </a:endParaRPr>
                        </a:p>
                      </a:txBody>
                      <a:useSpRect/>
                    </a:txSp>
                  </a:sp>
                  <a:sp>
                    <a:nvSpPr>
                      <a:cNvPr id="87" name="Rectangle 26"/>
                      <a:cNvSpPr>
                        <a:spLocks noChangeArrowheads="1"/>
                      </a:cNvSpPr>
                    </a:nvSpPr>
                    <a:spPr bwMode="auto">
                      <a:xfrm>
                        <a:off x="3754237" y="4917226"/>
                        <a:ext cx="1066800" cy="1084263"/>
                      </a:xfrm>
                      <a:prstGeom prst="rect">
                        <a:avLst/>
                      </a:prstGeom>
                      <a:gradFill rotWithShape="1">
                        <a:gsLst>
                          <a:gs pos="0">
                            <a:srgbClr val="FF9900">
                              <a:gamma/>
                              <a:shade val="46275"/>
                              <a:invGamma/>
                            </a:srgbClr>
                          </a:gs>
                          <a:gs pos="100000">
                            <a:srgbClr val="FF9900"/>
                          </a:gs>
                        </a:gsLst>
                        <a:lin ang="5400000" scaled="1"/>
                      </a:gradFill>
                      <a:ln w="28575">
                        <a:noFill/>
                        <a:miter lim="800000"/>
                        <a:headEnd type="none" w="sm" len="sm"/>
                        <a:tailEnd type="none" w="sm" len="sm"/>
                      </a:ln>
                      <a:effectLst>
                        <a:outerShdw dist="107763" dir="2700000" algn="ctr" rotWithShape="0">
                          <a:schemeClr val="bg2">
                            <a:alpha val="50000"/>
                          </a:schemeClr>
                        </a:outerShdw>
                      </a:effectLst>
                    </a:spPr>
                    <a:txSp>
                      <a:txBody>
                        <a:bodyPr wrap="none" lIns="96661" tIns="48331" rIns="96661" bIns="48331"/>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lgn="ctr" defTabSz="966788">
                            <a:lnSpc>
                              <a:spcPct val="100000"/>
                            </a:lnSpc>
                            <a:spcBef>
                              <a:spcPct val="0"/>
                            </a:spcBef>
                            <a:spcAft>
                              <a:spcPct val="0"/>
                            </a:spcAft>
                            <a:buClrTx/>
                            <a:buFontTx/>
                            <a:buNone/>
                          </a:pPr>
                          <a:r>
                            <a:rPr lang="en-US" sz="1000" b="1" dirty="0" smtClean="0">
                              <a:solidFill>
                                <a:schemeClr val="bg1"/>
                              </a:solidFill>
                            </a:rPr>
                            <a:t>NGES</a:t>
                          </a:r>
                          <a:endParaRPr lang="en-US" sz="1300" b="1" dirty="0">
                            <a:solidFill>
                              <a:schemeClr val="bg1"/>
                            </a:solidFill>
                          </a:endParaRPr>
                        </a:p>
                      </a:txBody>
                      <a:useSpRect/>
                    </a:txSp>
                  </a:sp>
                  <a:sp>
                    <a:nvSpPr>
                      <a:cNvPr id="91" name="Rectangle 26"/>
                      <a:cNvSpPr>
                        <a:spLocks noChangeArrowheads="1"/>
                      </a:cNvSpPr>
                    </a:nvSpPr>
                    <a:spPr bwMode="auto">
                      <a:xfrm>
                        <a:off x="5259334" y="4917228"/>
                        <a:ext cx="1066800" cy="1084263"/>
                      </a:xfrm>
                      <a:prstGeom prst="rect">
                        <a:avLst/>
                      </a:prstGeom>
                      <a:gradFill rotWithShape="1">
                        <a:gsLst>
                          <a:gs pos="0">
                            <a:srgbClr val="FF9900">
                              <a:gamma/>
                              <a:shade val="46275"/>
                              <a:invGamma/>
                            </a:srgbClr>
                          </a:gs>
                          <a:gs pos="100000">
                            <a:srgbClr val="FF9900"/>
                          </a:gs>
                        </a:gsLst>
                        <a:lin ang="5400000" scaled="1"/>
                      </a:gradFill>
                      <a:ln w="28575">
                        <a:noFill/>
                        <a:miter lim="800000"/>
                        <a:headEnd type="none" w="sm" len="sm"/>
                        <a:tailEnd type="none" w="sm" len="sm"/>
                      </a:ln>
                      <a:effectLst>
                        <a:outerShdw dist="107763" dir="2700000" algn="ctr" rotWithShape="0">
                          <a:schemeClr val="bg2">
                            <a:alpha val="50000"/>
                          </a:schemeClr>
                        </a:outerShdw>
                      </a:effectLst>
                    </a:spPr>
                    <a:txSp>
                      <a:txBody>
                        <a:bodyPr wrap="none" lIns="96661" tIns="48331" rIns="96661" bIns="48331"/>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lgn="ctr" defTabSz="966788">
                            <a:lnSpc>
                              <a:spcPct val="100000"/>
                            </a:lnSpc>
                            <a:spcBef>
                              <a:spcPct val="0"/>
                            </a:spcBef>
                            <a:spcAft>
                              <a:spcPct val="0"/>
                            </a:spcAft>
                            <a:buClrTx/>
                            <a:buFontTx/>
                            <a:buNone/>
                          </a:pPr>
                          <a:r>
                            <a:rPr lang="en-US" sz="1000" b="1" dirty="0" smtClean="0">
                              <a:solidFill>
                                <a:schemeClr val="bg1"/>
                              </a:solidFill>
                            </a:rPr>
                            <a:t>NGIS</a:t>
                          </a:r>
                          <a:endParaRPr lang="en-US" sz="1300" b="1" dirty="0">
                            <a:solidFill>
                              <a:schemeClr val="bg1"/>
                            </a:solidFill>
                          </a:endParaRPr>
                        </a:p>
                      </a:txBody>
                      <a:useSpRect/>
                    </a:txSp>
                  </a:sp>
                  <a:sp>
                    <a:nvSpPr>
                      <a:cNvPr id="133" name="Rectangle 132"/>
                      <a:cNvSpPr>
                        <a:spLocks noChangeArrowheads="1"/>
                      </a:cNvSpPr>
                    </a:nvSpPr>
                    <a:spPr bwMode="auto">
                      <a:xfrm>
                        <a:off x="6369779" y="1075306"/>
                        <a:ext cx="2524125" cy="3434551"/>
                      </a:xfrm>
                      <a:prstGeom prst="rect">
                        <a:avLst/>
                      </a:prstGeom>
                      <a:solidFill>
                        <a:srgbClr val="FFECB2"/>
                      </a:solidFill>
                      <a:ln w="12700" algn="ctr">
                        <a:solidFill>
                          <a:schemeClr val="tx1"/>
                        </a:solidFill>
                        <a:miter lim="800000"/>
                        <a:headEnd/>
                        <a:tailEnd/>
                      </a:ln>
                    </a:spPr>
                    <a:txSp>
                      <a:txBody>
                        <a:bodyPr wrap="none" lIns="102180" tIns="51090" rIns="102180" bIns="51090" anchor="ct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endParaRPr lang="en-US" dirty="0"/>
                        </a:p>
                      </a:txBody>
                      <a:useSpRect/>
                    </a:txSp>
                  </a:sp>
                  <a:sp>
                    <a:nvSpPr>
                      <a:cNvPr id="137" name="Text Box 11"/>
                      <a:cNvSpPr txBox="1">
                        <a:spLocks noChangeArrowheads="1"/>
                      </a:cNvSpPr>
                    </a:nvSpPr>
                    <a:spPr bwMode="auto">
                      <a:xfrm>
                        <a:off x="6604631" y="1089594"/>
                        <a:ext cx="1890912" cy="291495"/>
                      </a:xfrm>
                      <a:prstGeom prst="rect">
                        <a:avLst/>
                      </a:prstGeom>
                      <a:noFill/>
                      <a:ln w="9525">
                        <a:noFill/>
                        <a:miter lim="800000"/>
                        <a:headEnd/>
                        <a:tailEnd/>
                      </a:ln>
                    </a:spPr>
                    <a:txSp>
                      <a:txBody>
                        <a:bodyPr wrap="none" lIns="96652" tIns="48326" rIns="96652" bIns="48326">
                          <a:spAutoFit/>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lgn="ctr" defTabSz="966788">
                            <a:buNone/>
                          </a:pPr>
                          <a:r>
                            <a:rPr lang="en-US" sz="1400" b="1" dirty="0" smtClean="0">
                              <a:solidFill>
                                <a:schemeClr val="accent1">
                                  <a:lumMod val="50000"/>
                                </a:schemeClr>
                              </a:solidFill>
                              <a:cs typeface="Arial" charset="0"/>
                            </a:rPr>
                            <a:t>Enterprise Advisory</a:t>
                          </a:r>
                          <a:endParaRPr lang="en-US" sz="1400" b="1" dirty="0">
                            <a:solidFill>
                              <a:schemeClr val="accent1">
                                <a:lumMod val="50000"/>
                              </a:schemeClr>
                            </a:solidFill>
                            <a:cs typeface="Arial" charset="0"/>
                          </a:endParaRPr>
                        </a:p>
                      </a:txBody>
                      <a:useSpRect/>
                    </a:txSp>
                  </a:sp>
                  <a:sp>
                    <a:nvSpPr>
                      <a:cNvPr id="139" name="Rectangle 26"/>
                      <a:cNvSpPr>
                        <a:spLocks noChangeArrowheads="1"/>
                      </a:cNvSpPr>
                    </a:nvSpPr>
                    <a:spPr bwMode="auto">
                      <a:xfrm>
                        <a:off x="6728068" y="4929018"/>
                        <a:ext cx="1066800" cy="1084263"/>
                      </a:xfrm>
                      <a:prstGeom prst="rect">
                        <a:avLst/>
                      </a:prstGeom>
                      <a:gradFill rotWithShape="1">
                        <a:gsLst>
                          <a:gs pos="0">
                            <a:srgbClr val="FF9900">
                              <a:gamma/>
                              <a:shade val="46275"/>
                              <a:invGamma/>
                            </a:srgbClr>
                          </a:gs>
                          <a:gs pos="100000">
                            <a:srgbClr val="FF9900"/>
                          </a:gs>
                        </a:gsLst>
                        <a:lin ang="5400000" scaled="1"/>
                      </a:gradFill>
                      <a:ln w="28575">
                        <a:noFill/>
                        <a:miter lim="800000"/>
                        <a:headEnd type="none" w="sm" len="sm"/>
                        <a:tailEnd type="none" w="sm" len="sm"/>
                      </a:ln>
                      <a:effectLst>
                        <a:outerShdw dist="107763" dir="2700000" algn="ctr" rotWithShape="0">
                          <a:schemeClr val="bg2">
                            <a:alpha val="50000"/>
                          </a:schemeClr>
                        </a:outerShdw>
                      </a:effectLst>
                    </a:spPr>
                    <a:txSp>
                      <a:txBody>
                        <a:bodyPr wrap="none" lIns="96661" tIns="48331" rIns="96661" bIns="48331"/>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lgn="ctr" defTabSz="966788">
                            <a:lnSpc>
                              <a:spcPct val="100000"/>
                            </a:lnSpc>
                            <a:spcBef>
                              <a:spcPct val="0"/>
                            </a:spcBef>
                            <a:spcAft>
                              <a:spcPct val="0"/>
                            </a:spcAft>
                            <a:buClrTx/>
                            <a:buFontTx/>
                            <a:buNone/>
                          </a:pPr>
                          <a:r>
                            <a:rPr lang="en-US" sz="1000" b="1" dirty="0" smtClean="0">
                              <a:solidFill>
                                <a:schemeClr val="bg1"/>
                              </a:solidFill>
                            </a:rPr>
                            <a:t>NGTS</a:t>
                          </a:r>
                          <a:endParaRPr lang="en-US" sz="1300" b="1" dirty="0">
                            <a:solidFill>
                              <a:schemeClr val="bg1"/>
                            </a:solidFill>
                          </a:endParaRPr>
                        </a:p>
                      </a:txBody>
                      <a:useSpRect/>
                    </a:txSp>
                  </a:sp>
                  <a:sp>
                    <a:nvSpPr>
                      <a:cNvPr id="144" name="Rectangle 143"/>
                      <a:cNvSpPr>
                        <a:spLocks noChangeArrowheads="1"/>
                      </a:cNvSpPr>
                    </a:nvSpPr>
                    <a:spPr bwMode="auto">
                      <a:xfrm>
                        <a:off x="6755123" y="1438260"/>
                        <a:ext cx="1617663" cy="920750"/>
                      </a:xfrm>
                      <a:prstGeom prst="rect">
                        <a:avLst/>
                      </a:prstGeom>
                      <a:gradFill rotWithShape="1">
                        <a:gsLst>
                          <a:gs pos="0">
                            <a:srgbClr val="FF9900">
                              <a:gamma/>
                              <a:shade val="46275"/>
                              <a:invGamma/>
                            </a:srgbClr>
                          </a:gs>
                          <a:gs pos="100000">
                            <a:srgbClr val="FF9900"/>
                          </a:gs>
                        </a:gsLst>
                        <a:lin ang="5400000" scaled="1"/>
                      </a:gradFill>
                      <a:ln w="12700" algn="ctr">
                        <a:noFill/>
                        <a:miter lim="800000"/>
                        <a:headEnd type="none" w="sm" len="sm"/>
                        <a:tailEnd type="none" w="sm" len="sm"/>
                      </a:ln>
                      <a:effectLst>
                        <a:outerShdw dist="107763" dir="2700000" algn="ctr" rotWithShape="0">
                          <a:schemeClr val="bg2">
                            <a:alpha val="50000"/>
                          </a:schemeClr>
                        </a:outerShdw>
                      </a:effectLst>
                    </a:spPr>
                    <a:txSp>
                      <a:txBody>
                        <a:bodyPr wrap="none" lIns="96661" tIns="48331" rIns="96661" bIns="48331"/>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lgn="r" defTabSz="966788">
                            <a:buNone/>
                            <a:defRPr/>
                          </a:pPr>
                          <a:endParaRPr lang="en-US" sz="1000" b="1" dirty="0">
                            <a:solidFill>
                              <a:schemeClr val="bg1"/>
                            </a:solidFill>
                          </a:endParaRPr>
                        </a:p>
                      </a:txBody>
                      <a:useSpRect/>
                    </a:txSp>
                  </a:sp>
                  <a:sp>
                    <a:nvSpPr>
                      <a:cNvPr id="145" name="TextBox 144"/>
                      <a:cNvSpPr txBox="1"/>
                    </a:nvSpPr>
                    <a:spPr>
                      <a:xfrm>
                        <a:off x="7457243" y="1650449"/>
                        <a:ext cx="976764" cy="369332"/>
                      </a:xfrm>
                      <a:prstGeom prst="rect">
                        <a:avLst/>
                      </a:prstGeom>
                      <a:noFill/>
                    </a:spPr>
                    <a:txSp>
                      <a:txBody>
                        <a:bodyPr wrap="square" rtlCol="0">
                          <a:spAutoFit/>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buNone/>
                          </a:pPr>
                          <a:r>
                            <a:rPr lang="en-US" sz="1000" b="1" dirty="0" smtClean="0">
                              <a:solidFill>
                                <a:schemeClr val="bg1"/>
                              </a:solidFill>
                            </a:rPr>
                            <a:t>Executive Sponsor</a:t>
                          </a:r>
                          <a:endParaRPr lang="en-US" sz="1000" b="1" dirty="0">
                            <a:solidFill>
                              <a:schemeClr val="bg1"/>
                            </a:solidFill>
                          </a:endParaRPr>
                        </a:p>
                      </a:txBody>
                      <a:useSpRect/>
                    </a:txSp>
                  </a:sp>
                  <a:sp>
                    <a:nvSpPr>
                      <a:cNvPr id="146" name="Rectangle 145"/>
                      <a:cNvSpPr/>
                    </a:nvSpPr>
                    <a:spPr bwMode="auto">
                      <a:xfrm>
                        <a:off x="6867488" y="1521160"/>
                        <a:ext cx="559220" cy="725475"/>
                      </a:xfrm>
                      <a:prstGeom prst="rect">
                        <a:avLst/>
                      </a:prstGeom>
                      <a:solidFill>
                        <a:schemeClr val="tx1"/>
                      </a:solidFill>
                      <a:ln w="9525" cap="flat" cmpd="sng" algn="ctr">
                        <a:noFill/>
                        <a:prstDash val="solid"/>
                        <a:round/>
                        <a:headEnd type="none" w="med" len="med"/>
                        <a:tailEnd type="none" w="med" len="med"/>
                      </a:ln>
                      <a:effectLst/>
                    </a:spPr>
                    <a:txSp>
                      <a:txBody>
                        <a:bodyPr vert="horz" wrap="square" lIns="91440" tIns="45720" rIns="91440" bIns="45720" numCol="1" rtlCol="0" anchor="t" anchorCtr="0" compatLnSpc="1">
                          <a:prstTxWarp prst="textNoShape">
                            <a:avLst/>
                          </a:prstTxWarp>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marL="1582738" marR="0" indent="-381000" algn="l" defTabSz="966788" rtl="0" eaLnBrk="1" fontAlgn="base" latinLnBrk="0" hangingPunct="1">
                            <a:lnSpc>
                              <a:spcPct val="90000"/>
                            </a:lnSpc>
                            <a:spcBef>
                              <a:spcPct val="20000"/>
                            </a:spcBef>
                            <a:spcAft>
                              <a:spcPct val="50000"/>
                            </a:spcAft>
                            <a:buClr>
                              <a:srgbClr val="990000"/>
                            </a:buClr>
                            <a:buSzTx/>
                            <a:buFont typeface="Wingdings" pitchFamily="2" charset="2"/>
                            <a:buChar char="Ø"/>
                            <a:tabLst/>
                          </a:pPr>
                          <a:endParaRPr kumimoji="0" lang="en-US" sz="1600" b="0" i="0" u="none" strike="noStrike" cap="none" normalizeH="0" baseline="0" dirty="0" smtClean="0">
                            <a:ln>
                              <a:noFill/>
                            </a:ln>
                            <a:solidFill>
                              <a:schemeClr val="tx1"/>
                            </a:solidFill>
                            <a:effectLst/>
                            <a:latin typeface="Arial" charset="0"/>
                            <a:cs typeface="Arial" charset="0"/>
                          </a:endParaRPr>
                        </a:p>
                      </a:txBody>
                      <a:useSpRect/>
                    </a:txSp>
                  </a:sp>
                  <a:sp>
                    <a:nvSpPr>
                      <a:cNvPr id="148" name="Rectangle 147"/>
                      <a:cNvSpPr>
                        <a:spLocks noChangeArrowheads="1"/>
                      </a:cNvSpPr>
                    </a:nvSpPr>
                    <a:spPr bwMode="auto">
                      <a:xfrm>
                        <a:off x="6765481" y="2442917"/>
                        <a:ext cx="1617663" cy="920750"/>
                      </a:xfrm>
                      <a:prstGeom prst="rect">
                        <a:avLst/>
                      </a:prstGeom>
                      <a:gradFill rotWithShape="1">
                        <a:gsLst>
                          <a:gs pos="0">
                            <a:srgbClr val="FF9900">
                              <a:gamma/>
                              <a:shade val="46275"/>
                              <a:invGamma/>
                            </a:srgbClr>
                          </a:gs>
                          <a:gs pos="100000">
                            <a:srgbClr val="FF9900"/>
                          </a:gs>
                        </a:gsLst>
                        <a:lin ang="5400000" scaled="1"/>
                      </a:gradFill>
                      <a:ln w="12700" algn="ctr">
                        <a:noFill/>
                        <a:miter lim="800000"/>
                        <a:headEnd type="none" w="sm" len="sm"/>
                        <a:tailEnd type="none" w="sm" len="sm"/>
                      </a:ln>
                      <a:effectLst>
                        <a:outerShdw dist="107763" dir="2700000" algn="ctr" rotWithShape="0">
                          <a:schemeClr val="bg2">
                            <a:alpha val="50000"/>
                          </a:schemeClr>
                        </a:outerShdw>
                      </a:effectLst>
                    </a:spPr>
                    <a:txSp>
                      <a:txBody>
                        <a:bodyPr wrap="none" lIns="96661" tIns="48331" rIns="96661" bIns="48331"/>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lgn="r" defTabSz="966788">
                            <a:buNone/>
                            <a:defRPr/>
                          </a:pPr>
                          <a:endParaRPr lang="en-US" sz="1000" b="1" dirty="0">
                            <a:solidFill>
                              <a:schemeClr val="bg1"/>
                            </a:solidFill>
                          </a:endParaRPr>
                        </a:p>
                      </a:txBody>
                      <a:useSpRect/>
                    </a:txSp>
                  </a:sp>
                  <a:sp>
                    <a:nvSpPr>
                      <a:cNvPr id="149" name="TextBox 148"/>
                      <a:cNvSpPr txBox="1"/>
                    </a:nvSpPr>
                    <a:spPr>
                      <a:xfrm>
                        <a:off x="7467601" y="2655106"/>
                        <a:ext cx="976764" cy="369332"/>
                      </a:xfrm>
                      <a:prstGeom prst="rect">
                        <a:avLst/>
                      </a:prstGeom>
                      <a:noFill/>
                    </a:spPr>
                    <a:txSp>
                      <a:txBody>
                        <a:bodyPr wrap="square" rtlCol="0">
                          <a:spAutoFit/>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buNone/>
                          </a:pPr>
                          <a:r>
                            <a:rPr lang="en-US" sz="1000" b="1" dirty="0" smtClean="0">
                              <a:solidFill>
                                <a:schemeClr val="bg1"/>
                              </a:solidFill>
                            </a:rPr>
                            <a:t>Talent Management</a:t>
                          </a:r>
                          <a:endParaRPr lang="en-US" sz="1000" b="1" dirty="0">
                            <a:solidFill>
                              <a:schemeClr val="bg1"/>
                            </a:solidFill>
                          </a:endParaRPr>
                        </a:p>
                      </a:txBody>
                      <a:useSpRect/>
                    </a:txSp>
                  </a:sp>
                  <a:sp>
                    <a:nvSpPr>
                      <a:cNvPr id="150" name="Rectangle 149"/>
                      <a:cNvSpPr/>
                    </a:nvSpPr>
                    <a:spPr bwMode="auto">
                      <a:xfrm>
                        <a:off x="6877846" y="2525817"/>
                        <a:ext cx="559220" cy="725475"/>
                      </a:xfrm>
                      <a:prstGeom prst="rect">
                        <a:avLst/>
                      </a:prstGeom>
                      <a:solidFill>
                        <a:schemeClr val="tx1"/>
                      </a:solidFill>
                      <a:ln w="9525" cap="flat" cmpd="sng" algn="ctr">
                        <a:noFill/>
                        <a:prstDash val="solid"/>
                        <a:round/>
                        <a:headEnd type="none" w="med" len="med"/>
                        <a:tailEnd type="none" w="med" len="med"/>
                      </a:ln>
                      <a:effectLst/>
                    </a:spPr>
                    <a:txSp>
                      <a:txBody>
                        <a:bodyPr vert="horz" wrap="square" lIns="91440" tIns="45720" rIns="91440" bIns="45720" numCol="1" rtlCol="0" anchor="t" anchorCtr="0" compatLnSpc="1">
                          <a:prstTxWarp prst="textNoShape">
                            <a:avLst/>
                          </a:prstTxWarp>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marL="1582738" marR="0" indent="-381000" algn="l" defTabSz="966788" rtl="0" eaLnBrk="1" fontAlgn="base" latinLnBrk="0" hangingPunct="1">
                            <a:lnSpc>
                              <a:spcPct val="90000"/>
                            </a:lnSpc>
                            <a:spcBef>
                              <a:spcPct val="20000"/>
                            </a:spcBef>
                            <a:spcAft>
                              <a:spcPct val="50000"/>
                            </a:spcAft>
                            <a:buClr>
                              <a:srgbClr val="990000"/>
                            </a:buClr>
                            <a:buSzTx/>
                            <a:buFont typeface="Wingdings" pitchFamily="2" charset="2"/>
                            <a:buChar char="Ø"/>
                            <a:tabLst/>
                          </a:pPr>
                          <a:endParaRPr kumimoji="0" lang="en-US" sz="1600" b="0" i="0" u="none" strike="noStrike" cap="none" normalizeH="0" baseline="0" dirty="0" smtClean="0">
                            <a:ln>
                              <a:noFill/>
                            </a:ln>
                            <a:solidFill>
                              <a:schemeClr val="tx1"/>
                            </a:solidFill>
                            <a:effectLst/>
                            <a:latin typeface="Arial" charset="0"/>
                            <a:cs typeface="Arial" charset="0"/>
                          </a:endParaRPr>
                        </a:p>
                      </a:txBody>
                      <a:useSpRect/>
                    </a:txSp>
                  </a:sp>
                  <a:sp>
                    <a:nvSpPr>
                      <a:cNvPr id="151" name="Rectangle 150"/>
                      <a:cNvSpPr>
                        <a:spLocks noChangeArrowheads="1"/>
                      </a:cNvSpPr>
                    </a:nvSpPr>
                    <a:spPr bwMode="auto">
                      <a:xfrm>
                        <a:off x="6774357" y="3463848"/>
                        <a:ext cx="1617663" cy="920750"/>
                      </a:xfrm>
                      <a:prstGeom prst="rect">
                        <a:avLst/>
                      </a:prstGeom>
                      <a:gradFill rotWithShape="1">
                        <a:gsLst>
                          <a:gs pos="0">
                            <a:srgbClr val="FF9900">
                              <a:gamma/>
                              <a:shade val="46275"/>
                              <a:invGamma/>
                            </a:srgbClr>
                          </a:gs>
                          <a:gs pos="100000">
                            <a:srgbClr val="FF9900"/>
                          </a:gs>
                        </a:gsLst>
                        <a:lin ang="5400000" scaled="1"/>
                      </a:gradFill>
                      <a:ln w="12700" algn="ctr">
                        <a:noFill/>
                        <a:miter lim="800000"/>
                        <a:headEnd type="none" w="sm" len="sm"/>
                        <a:tailEnd type="none" w="sm" len="sm"/>
                      </a:ln>
                      <a:effectLst>
                        <a:outerShdw dist="107763" dir="2700000" algn="ctr" rotWithShape="0">
                          <a:schemeClr val="bg2">
                            <a:alpha val="50000"/>
                          </a:schemeClr>
                        </a:outerShdw>
                      </a:effectLst>
                    </a:spPr>
                    <a:txSp>
                      <a:txBody>
                        <a:bodyPr wrap="none" lIns="96661" tIns="48331" rIns="96661" bIns="48331"/>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lgn="r" defTabSz="966788">
                            <a:buNone/>
                            <a:defRPr/>
                          </a:pPr>
                          <a:endParaRPr lang="en-US" sz="1000" b="1" dirty="0">
                            <a:solidFill>
                              <a:schemeClr val="bg1"/>
                            </a:solidFill>
                          </a:endParaRPr>
                        </a:p>
                      </a:txBody>
                      <a:useSpRect/>
                    </a:txSp>
                  </a:sp>
                  <a:sp>
                    <a:nvSpPr>
                      <a:cNvPr id="152" name="TextBox 151"/>
                      <a:cNvSpPr txBox="1"/>
                    </a:nvSpPr>
                    <a:spPr>
                      <a:xfrm>
                        <a:off x="7476477" y="3676037"/>
                        <a:ext cx="976764" cy="369332"/>
                      </a:xfrm>
                      <a:prstGeom prst="rect">
                        <a:avLst/>
                      </a:prstGeom>
                      <a:noFill/>
                    </a:spPr>
                    <a:txSp>
                      <a:txBody>
                        <a:bodyPr wrap="square" rtlCol="0">
                          <a:spAutoFit/>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buNone/>
                          </a:pPr>
                          <a:r>
                            <a:rPr lang="en-US" sz="1000" b="1" dirty="0" smtClean="0">
                              <a:solidFill>
                                <a:schemeClr val="bg1"/>
                              </a:solidFill>
                            </a:rPr>
                            <a:t>Diversity &amp; Inclusion</a:t>
                          </a:r>
                          <a:endParaRPr lang="en-US" sz="1000" b="1" dirty="0">
                            <a:solidFill>
                              <a:schemeClr val="bg1"/>
                            </a:solidFill>
                          </a:endParaRPr>
                        </a:p>
                      </a:txBody>
                      <a:useSpRect/>
                    </a:txSp>
                  </a:sp>
                  <a:sp>
                    <a:nvSpPr>
                      <a:cNvPr id="153" name="Rectangle 152"/>
                      <a:cNvSpPr/>
                    </a:nvSpPr>
                    <a:spPr bwMode="auto">
                      <a:xfrm>
                        <a:off x="6886722" y="3546748"/>
                        <a:ext cx="559220" cy="725475"/>
                      </a:xfrm>
                      <a:prstGeom prst="rect">
                        <a:avLst/>
                      </a:prstGeom>
                      <a:solidFill>
                        <a:schemeClr val="tx1"/>
                      </a:solidFill>
                      <a:ln w="9525" cap="flat" cmpd="sng" algn="ctr">
                        <a:noFill/>
                        <a:prstDash val="solid"/>
                        <a:round/>
                        <a:headEnd type="none" w="med" len="med"/>
                        <a:tailEnd type="none" w="med" len="med"/>
                      </a:ln>
                      <a:effectLst/>
                    </a:spPr>
                    <a:txSp>
                      <a:txBody>
                        <a:bodyPr vert="horz" wrap="square" lIns="91440" tIns="45720" rIns="91440" bIns="45720" numCol="1" rtlCol="0" anchor="t" anchorCtr="0" compatLnSpc="1">
                          <a:prstTxWarp prst="textNoShape">
                            <a:avLst/>
                          </a:prstTxWarp>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marL="1582738" marR="0" indent="-381000" algn="l" defTabSz="966788" rtl="0" eaLnBrk="1" fontAlgn="base" latinLnBrk="0" hangingPunct="1">
                            <a:lnSpc>
                              <a:spcPct val="90000"/>
                            </a:lnSpc>
                            <a:spcBef>
                              <a:spcPct val="20000"/>
                            </a:spcBef>
                            <a:spcAft>
                              <a:spcPct val="50000"/>
                            </a:spcAft>
                            <a:buClr>
                              <a:srgbClr val="990000"/>
                            </a:buClr>
                            <a:buSzTx/>
                            <a:buFont typeface="Wingdings" pitchFamily="2" charset="2"/>
                            <a:buChar char="Ø"/>
                            <a:tabLst/>
                          </a:pPr>
                          <a:endParaRPr kumimoji="0" lang="en-US" sz="1600" b="0" i="0" u="none" strike="noStrike" cap="none" normalizeH="0" baseline="0" dirty="0" smtClean="0">
                            <a:ln>
                              <a:noFill/>
                            </a:ln>
                            <a:solidFill>
                              <a:schemeClr val="tx1"/>
                            </a:solidFill>
                            <a:effectLst/>
                            <a:latin typeface="Arial" charset="0"/>
                            <a:cs typeface="Arial" charset="0"/>
                          </a:endParaRPr>
                        </a:p>
                      </a:txBody>
                      <a:useSpRect/>
                    </a:txSp>
                  </a:sp>
                  <a:sp>
                    <a:nvSpPr>
                      <a:cNvPr id="154" name="Rectangle 153"/>
                      <a:cNvSpPr/>
                    </a:nvSpPr>
                    <a:spPr bwMode="auto">
                      <a:xfrm>
                        <a:off x="1237968" y="2505872"/>
                        <a:ext cx="559220" cy="725475"/>
                      </a:xfrm>
                      <a:prstGeom prst="rect">
                        <a:avLst/>
                      </a:prstGeom>
                      <a:solidFill>
                        <a:schemeClr val="tx1"/>
                      </a:solidFill>
                      <a:ln w="9525" cap="flat" cmpd="sng" algn="ctr">
                        <a:noFill/>
                        <a:prstDash val="solid"/>
                        <a:round/>
                        <a:headEnd type="none" w="med" len="med"/>
                        <a:tailEnd type="none" w="med" len="med"/>
                      </a:ln>
                      <a:effectLst/>
                    </a:spPr>
                    <a:txSp>
                      <a:txBody>
                        <a:bodyPr vert="horz" wrap="square" lIns="91440" tIns="45720" rIns="91440" bIns="45720" numCol="1" rtlCol="0" anchor="t" anchorCtr="0" compatLnSpc="1">
                          <a:prstTxWarp prst="textNoShape">
                            <a:avLst/>
                          </a:prstTxWarp>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marL="1582738" marR="0" indent="-381000" algn="l" defTabSz="966788" rtl="0" eaLnBrk="1" fontAlgn="base" latinLnBrk="0" hangingPunct="1">
                            <a:lnSpc>
                              <a:spcPct val="90000"/>
                            </a:lnSpc>
                            <a:spcBef>
                              <a:spcPct val="20000"/>
                            </a:spcBef>
                            <a:spcAft>
                              <a:spcPct val="50000"/>
                            </a:spcAft>
                            <a:buClr>
                              <a:srgbClr val="990000"/>
                            </a:buClr>
                            <a:buSzTx/>
                            <a:buFont typeface="Wingdings" pitchFamily="2" charset="2"/>
                            <a:buChar char="Ø"/>
                            <a:tabLst/>
                          </a:pPr>
                          <a:endParaRPr kumimoji="0" lang="en-US" sz="1600" b="0" i="0" u="none" strike="noStrike" cap="none" normalizeH="0" baseline="0" dirty="0" smtClean="0">
                            <a:ln>
                              <a:noFill/>
                            </a:ln>
                            <a:solidFill>
                              <a:schemeClr val="tx1"/>
                            </a:solidFill>
                            <a:effectLst/>
                            <a:latin typeface="Arial" charset="0"/>
                            <a:cs typeface="Arial" charset="0"/>
                          </a:endParaRPr>
                        </a:p>
                      </a:txBody>
                      <a:useSpRect/>
                    </a:txSp>
                  </a:sp>
                  <a:sp>
                    <a:nvSpPr>
                      <a:cNvPr id="155" name="Rectangle 154"/>
                      <a:cNvSpPr/>
                    </a:nvSpPr>
                    <a:spPr bwMode="auto">
                      <a:xfrm>
                        <a:off x="1221692" y="3519406"/>
                        <a:ext cx="559220" cy="725475"/>
                      </a:xfrm>
                      <a:prstGeom prst="rect">
                        <a:avLst/>
                      </a:prstGeom>
                      <a:solidFill>
                        <a:schemeClr val="tx1"/>
                      </a:solidFill>
                      <a:ln w="9525" cap="flat" cmpd="sng" algn="ctr">
                        <a:noFill/>
                        <a:prstDash val="solid"/>
                        <a:round/>
                        <a:headEnd type="none" w="med" len="med"/>
                        <a:tailEnd type="none" w="med" len="med"/>
                      </a:ln>
                      <a:effectLst/>
                    </a:spPr>
                    <a:txSp>
                      <a:txBody>
                        <a:bodyPr vert="horz" wrap="square" lIns="91440" tIns="45720" rIns="91440" bIns="45720" numCol="1" rtlCol="0" anchor="t" anchorCtr="0" compatLnSpc="1">
                          <a:prstTxWarp prst="textNoShape">
                            <a:avLst/>
                          </a:prstTxWarp>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marL="1582738" marR="0" indent="-381000" algn="l" defTabSz="966788" rtl="0" eaLnBrk="1" fontAlgn="base" latinLnBrk="0" hangingPunct="1">
                            <a:lnSpc>
                              <a:spcPct val="90000"/>
                            </a:lnSpc>
                            <a:spcBef>
                              <a:spcPct val="20000"/>
                            </a:spcBef>
                            <a:spcAft>
                              <a:spcPct val="50000"/>
                            </a:spcAft>
                            <a:buClr>
                              <a:srgbClr val="990000"/>
                            </a:buClr>
                            <a:buSzTx/>
                            <a:buFont typeface="Wingdings" pitchFamily="2" charset="2"/>
                            <a:buChar char="Ø"/>
                            <a:tabLst/>
                          </a:pPr>
                          <a:endParaRPr kumimoji="0" lang="en-US" sz="1600" b="0" i="0" u="none" strike="noStrike" cap="none" normalizeH="0" baseline="0" dirty="0" smtClean="0">
                            <a:ln>
                              <a:noFill/>
                            </a:ln>
                            <a:solidFill>
                              <a:schemeClr val="tx1"/>
                            </a:solidFill>
                            <a:effectLst/>
                            <a:latin typeface="Arial" charset="0"/>
                            <a:cs typeface="Arial" charset="0"/>
                          </a:endParaRPr>
                        </a:p>
                      </a:txBody>
                      <a:useSpRect/>
                    </a:txSp>
                  </a:sp>
                  <a:sp>
                    <a:nvSpPr>
                      <a:cNvPr id="156" name="Rectangle 155"/>
                      <a:cNvSpPr/>
                    </a:nvSpPr>
                    <a:spPr bwMode="auto">
                      <a:xfrm>
                        <a:off x="2899572" y="3528283"/>
                        <a:ext cx="559220" cy="725475"/>
                      </a:xfrm>
                      <a:prstGeom prst="rect">
                        <a:avLst/>
                      </a:prstGeom>
                      <a:solidFill>
                        <a:schemeClr val="tx1"/>
                      </a:solidFill>
                      <a:ln w="9525" cap="flat" cmpd="sng" algn="ctr">
                        <a:noFill/>
                        <a:prstDash val="solid"/>
                        <a:round/>
                        <a:headEnd type="none" w="med" len="med"/>
                        <a:tailEnd type="none" w="med" len="med"/>
                      </a:ln>
                      <a:effectLst/>
                    </a:spPr>
                    <a:txSp>
                      <a:txBody>
                        <a:bodyPr vert="horz" wrap="square" lIns="91440" tIns="45720" rIns="91440" bIns="45720" numCol="1" rtlCol="0" anchor="t" anchorCtr="0" compatLnSpc="1">
                          <a:prstTxWarp prst="textNoShape">
                            <a:avLst/>
                          </a:prstTxWarp>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marL="1582738" marR="0" indent="-381000" algn="l" defTabSz="966788" rtl="0" eaLnBrk="1" fontAlgn="base" latinLnBrk="0" hangingPunct="1">
                            <a:lnSpc>
                              <a:spcPct val="90000"/>
                            </a:lnSpc>
                            <a:spcBef>
                              <a:spcPct val="20000"/>
                            </a:spcBef>
                            <a:spcAft>
                              <a:spcPct val="50000"/>
                            </a:spcAft>
                            <a:buClr>
                              <a:srgbClr val="990000"/>
                            </a:buClr>
                            <a:buSzTx/>
                            <a:buFont typeface="Wingdings" pitchFamily="2" charset="2"/>
                            <a:buChar char="Ø"/>
                            <a:tabLst/>
                          </a:pPr>
                          <a:endParaRPr kumimoji="0" lang="en-US" sz="1600" b="0" i="0" u="none" strike="noStrike" cap="none" normalizeH="0" baseline="0" dirty="0" smtClean="0">
                            <a:ln>
                              <a:noFill/>
                            </a:ln>
                            <a:solidFill>
                              <a:schemeClr val="tx1"/>
                            </a:solidFill>
                            <a:effectLst/>
                            <a:latin typeface="Arial" charset="0"/>
                            <a:cs typeface="Arial" charset="0"/>
                          </a:endParaRPr>
                        </a:p>
                      </a:txBody>
                      <a:useSpRect/>
                    </a:txSp>
                  </a:sp>
                  <a:sp>
                    <a:nvSpPr>
                      <a:cNvPr id="157" name="Rectangle 156"/>
                      <a:cNvSpPr/>
                    </a:nvSpPr>
                    <a:spPr bwMode="auto">
                      <a:xfrm>
                        <a:off x="4741703" y="3488346"/>
                        <a:ext cx="560479" cy="802304"/>
                      </a:xfrm>
                      <a:prstGeom prst="rect">
                        <a:avLst/>
                      </a:prstGeom>
                      <a:solidFill>
                        <a:schemeClr val="tx1"/>
                      </a:solidFill>
                      <a:ln w="9525" cap="flat" cmpd="sng" algn="ctr">
                        <a:noFill/>
                        <a:prstDash val="solid"/>
                        <a:round/>
                        <a:headEnd type="none" w="med" len="med"/>
                        <a:tailEnd type="none" w="med" len="med"/>
                      </a:ln>
                      <a:effectLst/>
                    </a:spPr>
                    <a:txSp>
                      <a:txBody>
                        <a:bodyPr vert="horz" wrap="square" lIns="91440" tIns="45720" rIns="91440" bIns="45720" numCol="1" rtlCol="0" anchor="t" anchorCtr="0" compatLnSpc="1">
                          <a:prstTxWarp prst="textNoShape">
                            <a:avLst/>
                          </a:prstTxWarp>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marL="1582738" marR="0" indent="-381000" algn="l" defTabSz="966788" rtl="0" eaLnBrk="1" fontAlgn="base" latinLnBrk="0" hangingPunct="1">
                            <a:lnSpc>
                              <a:spcPct val="90000"/>
                            </a:lnSpc>
                            <a:spcBef>
                              <a:spcPct val="20000"/>
                            </a:spcBef>
                            <a:spcAft>
                              <a:spcPct val="50000"/>
                            </a:spcAft>
                            <a:buClr>
                              <a:srgbClr val="990000"/>
                            </a:buClr>
                            <a:buSzTx/>
                            <a:buFont typeface="Wingdings" pitchFamily="2" charset="2"/>
                            <a:buChar char="Ø"/>
                            <a:tabLst/>
                          </a:pPr>
                          <a:endParaRPr kumimoji="0" lang="en-US" sz="1600" b="0" i="0" u="none" strike="noStrike" cap="none" normalizeH="0" baseline="0" dirty="0" smtClean="0">
                            <a:ln>
                              <a:noFill/>
                            </a:ln>
                            <a:solidFill>
                              <a:schemeClr val="tx1"/>
                            </a:solidFill>
                            <a:effectLst/>
                            <a:latin typeface="Arial" charset="0"/>
                            <a:cs typeface="Arial" charset="0"/>
                          </a:endParaRPr>
                        </a:p>
                      </a:txBody>
                      <a:useSpRect/>
                    </a:txSp>
                  </a:sp>
                  <a:sp>
                    <a:nvSpPr>
                      <a:cNvPr id="158" name="Text Box 11"/>
                      <a:cNvSpPr txBox="1">
                        <a:spLocks noChangeArrowheads="1"/>
                      </a:cNvSpPr>
                    </a:nvSpPr>
                    <a:spPr bwMode="auto">
                      <a:xfrm>
                        <a:off x="2484939" y="1099952"/>
                        <a:ext cx="2533974" cy="291495"/>
                      </a:xfrm>
                      <a:prstGeom prst="rect">
                        <a:avLst/>
                      </a:prstGeom>
                      <a:noFill/>
                      <a:ln w="9525">
                        <a:noFill/>
                        <a:miter lim="800000"/>
                        <a:headEnd/>
                        <a:tailEnd/>
                      </a:ln>
                    </a:spPr>
                    <a:txSp>
                      <a:txBody>
                        <a:bodyPr wrap="none" lIns="96652" tIns="48326" rIns="96652" bIns="48326">
                          <a:spAutoFit/>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lgn="ctr" defTabSz="966788">
                            <a:buNone/>
                          </a:pPr>
                          <a:r>
                            <a:rPr lang="en-US" sz="1400" b="1" dirty="0" smtClean="0">
                              <a:solidFill>
                                <a:schemeClr val="accent1">
                                  <a:lumMod val="50000"/>
                                </a:schemeClr>
                              </a:solidFill>
                              <a:cs typeface="Arial" charset="0"/>
                            </a:rPr>
                            <a:t>Enterprise Executive Board</a:t>
                          </a:r>
                          <a:endParaRPr lang="en-US" sz="1400" b="1" dirty="0">
                            <a:solidFill>
                              <a:schemeClr val="accent1">
                                <a:lumMod val="50000"/>
                              </a:schemeClr>
                            </a:solidFill>
                            <a:cs typeface="Arial" charset="0"/>
                          </a:endParaRPr>
                        </a:p>
                      </a:txBody>
                      <a:useSpRect/>
                    </a:txSp>
                  </a:sp>
                  <a:sp>
                    <a:nvSpPr>
                      <a:cNvPr id="159" name="Rectangle 158"/>
                      <a:cNvSpPr/>
                    </a:nvSpPr>
                    <a:spPr bwMode="auto">
                      <a:xfrm>
                        <a:off x="2519580" y="5180253"/>
                        <a:ext cx="559220" cy="725475"/>
                      </a:xfrm>
                      <a:prstGeom prst="rect">
                        <a:avLst/>
                      </a:prstGeom>
                      <a:solidFill>
                        <a:schemeClr val="tx1"/>
                      </a:solidFill>
                      <a:ln w="9525" cap="flat" cmpd="sng" algn="ctr">
                        <a:noFill/>
                        <a:prstDash val="solid"/>
                        <a:round/>
                        <a:headEnd type="none" w="med" len="med"/>
                        <a:tailEnd type="none" w="med" len="med"/>
                      </a:ln>
                      <a:effectLst/>
                    </a:spPr>
                    <a:txSp>
                      <a:txBody>
                        <a:bodyPr vert="horz" wrap="square" lIns="91440" tIns="45720" rIns="91440" bIns="45720" numCol="1" rtlCol="0" anchor="t" anchorCtr="0" compatLnSpc="1">
                          <a:prstTxWarp prst="textNoShape">
                            <a:avLst/>
                          </a:prstTxWarp>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marL="1582738" marR="0" indent="-381000" algn="l" defTabSz="966788" rtl="0" eaLnBrk="1" fontAlgn="base" latinLnBrk="0" hangingPunct="1">
                            <a:lnSpc>
                              <a:spcPct val="90000"/>
                            </a:lnSpc>
                            <a:spcBef>
                              <a:spcPct val="20000"/>
                            </a:spcBef>
                            <a:spcAft>
                              <a:spcPct val="50000"/>
                            </a:spcAft>
                            <a:buClr>
                              <a:srgbClr val="990000"/>
                            </a:buClr>
                            <a:buSzTx/>
                            <a:buFont typeface="Wingdings" pitchFamily="2" charset="2"/>
                            <a:buChar char="Ø"/>
                            <a:tabLst/>
                          </a:pPr>
                          <a:endParaRPr kumimoji="0" lang="en-US" sz="1600" b="0" i="0" u="none" strike="noStrike" cap="none" normalizeH="0" baseline="0" dirty="0" smtClean="0">
                            <a:ln>
                              <a:noFill/>
                            </a:ln>
                            <a:solidFill>
                              <a:schemeClr val="tx1"/>
                            </a:solidFill>
                            <a:effectLst/>
                            <a:latin typeface="Arial" charset="0"/>
                            <a:cs typeface="Arial" charset="0"/>
                          </a:endParaRPr>
                        </a:p>
                      </a:txBody>
                      <a:useSpRect/>
                    </a:txSp>
                  </a:sp>
                  <a:sp>
                    <a:nvSpPr>
                      <a:cNvPr id="160" name="Rectangle 159"/>
                      <a:cNvSpPr/>
                    </a:nvSpPr>
                    <a:spPr bwMode="auto">
                      <a:xfrm>
                        <a:off x="4003630" y="5181733"/>
                        <a:ext cx="559220" cy="725475"/>
                      </a:xfrm>
                      <a:prstGeom prst="rect">
                        <a:avLst/>
                      </a:prstGeom>
                      <a:solidFill>
                        <a:schemeClr val="tx1"/>
                      </a:solidFill>
                      <a:ln w="9525" cap="flat" cmpd="sng" algn="ctr">
                        <a:noFill/>
                        <a:prstDash val="solid"/>
                        <a:round/>
                        <a:headEnd type="none" w="med" len="med"/>
                        <a:tailEnd type="none" w="med" len="med"/>
                      </a:ln>
                      <a:effectLst/>
                    </a:spPr>
                    <a:txSp>
                      <a:txBody>
                        <a:bodyPr vert="horz" wrap="square" lIns="91440" tIns="45720" rIns="91440" bIns="45720" numCol="1" rtlCol="0" anchor="t" anchorCtr="0" compatLnSpc="1">
                          <a:prstTxWarp prst="textNoShape">
                            <a:avLst/>
                          </a:prstTxWarp>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marL="1582738" marR="0" indent="-381000" algn="l" defTabSz="966788" rtl="0" eaLnBrk="1" fontAlgn="base" latinLnBrk="0" hangingPunct="1">
                            <a:lnSpc>
                              <a:spcPct val="90000"/>
                            </a:lnSpc>
                            <a:spcBef>
                              <a:spcPct val="20000"/>
                            </a:spcBef>
                            <a:spcAft>
                              <a:spcPct val="50000"/>
                            </a:spcAft>
                            <a:buClr>
                              <a:srgbClr val="990000"/>
                            </a:buClr>
                            <a:buSzTx/>
                            <a:buFont typeface="Wingdings" pitchFamily="2" charset="2"/>
                            <a:buChar char="Ø"/>
                            <a:tabLst/>
                          </a:pPr>
                          <a:endParaRPr kumimoji="0" lang="en-US" sz="1600" b="0" i="0" u="none" strike="noStrike" cap="none" normalizeH="0" baseline="0" dirty="0" smtClean="0">
                            <a:ln>
                              <a:noFill/>
                            </a:ln>
                            <a:solidFill>
                              <a:schemeClr val="tx1"/>
                            </a:solidFill>
                            <a:effectLst/>
                            <a:latin typeface="Arial" charset="0"/>
                            <a:cs typeface="Arial" charset="0"/>
                          </a:endParaRPr>
                        </a:p>
                      </a:txBody>
                      <a:useSpRect/>
                    </a:txSp>
                  </a:sp>
                  <a:sp>
                    <a:nvSpPr>
                      <a:cNvPr id="161" name="Rectangle 160"/>
                      <a:cNvSpPr/>
                    </a:nvSpPr>
                    <a:spPr bwMode="auto">
                      <a:xfrm>
                        <a:off x="5521713" y="5172855"/>
                        <a:ext cx="559220" cy="725475"/>
                      </a:xfrm>
                      <a:prstGeom prst="rect">
                        <a:avLst/>
                      </a:prstGeom>
                      <a:solidFill>
                        <a:schemeClr val="tx1"/>
                      </a:solidFill>
                      <a:ln w="9525" cap="flat" cmpd="sng" algn="ctr">
                        <a:noFill/>
                        <a:prstDash val="solid"/>
                        <a:round/>
                        <a:headEnd type="none" w="med" len="med"/>
                        <a:tailEnd type="none" w="med" len="med"/>
                      </a:ln>
                      <a:effectLst/>
                    </a:spPr>
                    <a:txSp>
                      <a:txBody>
                        <a:bodyPr vert="horz" wrap="square" lIns="91440" tIns="45720" rIns="91440" bIns="45720" numCol="1" rtlCol="0" anchor="t" anchorCtr="0" compatLnSpc="1">
                          <a:prstTxWarp prst="textNoShape">
                            <a:avLst/>
                          </a:prstTxWarp>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marL="1582738" marR="0" indent="-381000" algn="l" defTabSz="966788" rtl="0" eaLnBrk="1" fontAlgn="base" latinLnBrk="0" hangingPunct="1">
                            <a:lnSpc>
                              <a:spcPct val="90000"/>
                            </a:lnSpc>
                            <a:spcBef>
                              <a:spcPct val="20000"/>
                            </a:spcBef>
                            <a:spcAft>
                              <a:spcPct val="50000"/>
                            </a:spcAft>
                            <a:buClr>
                              <a:srgbClr val="990000"/>
                            </a:buClr>
                            <a:buSzTx/>
                            <a:buFont typeface="Wingdings" pitchFamily="2" charset="2"/>
                            <a:buChar char="Ø"/>
                            <a:tabLst/>
                          </a:pPr>
                          <a:endParaRPr kumimoji="0" lang="en-US" sz="1600" b="0" i="0" u="none" strike="noStrike" cap="none" normalizeH="0" baseline="0" dirty="0" smtClean="0">
                            <a:ln>
                              <a:noFill/>
                            </a:ln>
                            <a:solidFill>
                              <a:schemeClr val="tx1"/>
                            </a:solidFill>
                            <a:effectLst/>
                            <a:latin typeface="Arial" charset="0"/>
                            <a:cs typeface="Arial" charset="0"/>
                          </a:endParaRPr>
                        </a:p>
                      </a:txBody>
                      <a:useSpRect/>
                    </a:txSp>
                  </a:sp>
                  <a:sp>
                    <a:nvSpPr>
                      <a:cNvPr id="163" name="Rectangle 162"/>
                      <a:cNvSpPr/>
                    </a:nvSpPr>
                    <a:spPr bwMode="auto">
                      <a:xfrm>
                        <a:off x="7004656" y="5165473"/>
                        <a:ext cx="559220" cy="725475"/>
                      </a:xfrm>
                      <a:prstGeom prst="rect">
                        <a:avLst/>
                      </a:prstGeom>
                      <a:solidFill>
                        <a:schemeClr val="tx1"/>
                      </a:solidFill>
                      <a:ln w="9525" cap="flat" cmpd="sng" algn="ctr">
                        <a:noFill/>
                        <a:prstDash val="solid"/>
                        <a:round/>
                        <a:headEnd type="none" w="med" len="med"/>
                        <a:tailEnd type="none" w="med" len="med"/>
                      </a:ln>
                      <a:effectLst/>
                    </a:spPr>
                    <a:txSp>
                      <a:txBody>
                        <a:bodyPr vert="horz" wrap="square" lIns="91440" tIns="45720" rIns="91440" bIns="45720" numCol="1" rtlCol="0" anchor="t" anchorCtr="0" compatLnSpc="1">
                          <a:prstTxWarp prst="textNoShape">
                            <a:avLst/>
                          </a:prstTxWarp>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marL="1582738" marR="0" indent="-381000" algn="l" defTabSz="966788" rtl="0" eaLnBrk="1" fontAlgn="base" latinLnBrk="0" hangingPunct="1">
                            <a:lnSpc>
                              <a:spcPct val="90000"/>
                            </a:lnSpc>
                            <a:spcBef>
                              <a:spcPct val="20000"/>
                            </a:spcBef>
                            <a:spcAft>
                              <a:spcPct val="50000"/>
                            </a:spcAft>
                            <a:buClr>
                              <a:srgbClr val="990000"/>
                            </a:buClr>
                            <a:buSzTx/>
                            <a:buFont typeface="Wingdings" pitchFamily="2" charset="2"/>
                            <a:buChar char="Ø"/>
                            <a:tabLst/>
                          </a:pPr>
                          <a:endParaRPr kumimoji="0" lang="en-US" sz="1600" b="0" i="0" u="none" strike="noStrike" cap="none" normalizeH="0" baseline="0" dirty="0" smtClean="0">
                            <a:ln>
                              <a:noFill/>
                            </a:ln>
                            <a:solidFill>
                              <a:schemeClr val="tx1"/>
                            </a:solidFill>
                            <a:effectLst/>
                            <a:latin typeface="Arial" charset="0"/>
                            <a:cs typeface="Arial" charset="0"/>
                          </a:endParaRPr>
                        </a:p>
                      </a:txBody>
                      <a:useSpRect/>
                    </a:txSp>
                  </a:sp>
                </lc:lockedCanvas>
              </a:graphicData>
            </a:graphic>
          </wp:inline>
        </w:drawing>
      </w:r>
    </w:p>
    <w:p w:rsidR="00C859D2" w:rsidRDefault="00C859D2" w:rsidP="00E416A1">
      <w:pPr>
        <w:rPr>
          <w:rFonts w:ascii="Arial" w:hAnsi="Arial" w:cs="Arial"/>
          <w:u w:val="single"/>
        </w:rPr>
      </w:pPr>
    </w:p>
    <w:p w:rsidR="00C859D2" w:rsidRDefault="00C859D2" w:rsidP="00E416A1">
      <w:pPr>
        <w:rPr>
          <w:rFonts w:ascii="Arial" w:hAnsi="Arial" w:cs="Arial"/>
          <w:u w:val="single"/>
        </w:rPr>
      </w:pPr>
    </w:p>
    <w:p w:rsidR="00247505" w:rsidRPr="00E05966" w:rsidRDefault="00247505" w:rsidP="00247505">
      <w:pPr>
        <w:rPr>
          <w:rFonts w:ascii="Arial" w:hAnsi="Arial" w:cs="Arial"/>
          <w:b/>
          <w:u w:val="single"/>
        </w:rPr>
      </w:pPr>
      <w:r w:rsidRPr="00E05966">
        <w:rPr>
          <w:rFonts w:ascii="Arial" w:hAnsi="Arial" w:cs="Arial"/>
          <w:b/>
          <w:u w:val="single"/>
        </w:rPr>
        <w:t>Responsibilities of the Enterprise Board:</w:t>
      </w:r>
    </w:p>
    <w:p w:rsidR="00247505" w:rsidRPr="00811D96" w:rsidRDefault="00247505" w:rsidP="00247505">
      <w:pPr>
        <w:rPr>
          <w:rFonts w:ascii="Arial" w:hAnsi="Arial" w:cs="Arial"/>
        </w:rPr>
      </w:pPr>
      <w:r w:rsidRPr="00811D96">
        <w:rPr>
          <w:rFonts w:ascii="Arial" w:hAnsi="Arial" w:cs="Arial"/>
        </w:rPr>
        <w:t>The responsibilities of the Enterprise Board are as follows:</w:t>
      </w:r>
    </w:p>
    <w:p w:rsidR="00247505" w:rsidRPr="00811D96" w:rsidRDefault="002801DD" w:rsidP="001F6922">
      <w:pPr>
        <w:numPr>
          <w:ilvl w:val="0"/>
          <w:numId w:val="8"/>
        </w:numPr>
        <w:rPr>
          <w:rFonts w:ascii="Arial" w:hAnsi="Arial" w:cs="Arial"/>
        </w:rPr>
      </w:pPr>
      <w:r>
        <w:rPr>
          <w:rFonts w:ascii="Arial" w:hAnsi="Arial" w:cs="Arial"/>
        </w:rPr>
        <w:t>Provide s</w:t>
      </w:r>
      <w:r w:rsidR="00247505" w:rsidRPr="00811D96">
        <w:rPr>
          <w:rFonts w:ascii="Arial" w:hAnsi="Arial" w:cs="Arial"/>
        </w:rPr>
        <w:t xml:space="preserve">trategic direction </w:t>
      </w:r>
    </w:p>
    <w:p w:rsidR="002801DD" w:rsidRDefault="002801DD" w:rsidP="001F6922">
      <w:pPr>
        <w:numPr>
          <w:ilvl w:val="1"/>
          <w:numId w:val="8"/>
        </w:numPr>
        <w:rPr>
          <w:rFonts w:ascii="Arial" w:hAnsi="Arial" w:cs="Arial"/>
        </w:rPr>
      </w:pPr>
      <w:r>
        <w:rPr>
          <w:rFonts w:ascii="Arial" w:hAnsi="Arial" w:cs="Arial"/>
        </w:rPr>
        <w:t xml:space="preserve">Ensure collaboration of all sectors </w:t>
      </w:r>
    </w:p>
    <w:p w:rsidR="002801DD" w:rsidRDefault="002801DD" w:rsidP="001F6922">
      <w:pPr>
        <w:numPr>
          <w:ilvl w:val="1"/>
          <w:numId w:val="8"/>
        </w:numPr>
        <w:rPr>
          <w:rFonts w:ascii="Arial" w:hAnsi="Arial" w:cs="Arial"/>
        </w:rPr>
      </w:pPr>
      <w:r>
        <w:rPr>
          <w:rFonts w:ascii="Arial" w:hAnsi="Arial" w:cs="Arial"/>
        </w:rPr>
        <w:t>Allow for networking opportunities throughout the corporation</w:t>
      </w:r>
    </w:p>
    <w:p w:rsidR="002801DD" w:rsidRDefault="002801DD" w:rsidP="001F6922">
      <w:pPr>
        <w:numPr>
          <w:ilvl w:val="1"/>
          <w:numId w:val="8"/>
        </w:numPr>
        <w:rPr>
          <w:rFonts w:ascii="Arial" w:hAnsi="Arial" w:cs="Arial"/>
        </w:rPr>
      </w:pPr>
      <w:r>
        <w:rPr>
          <w:rFonts w:ascii="Arial" w:hAnsi="Arial" w:cs="Arial"/>
        </w:rPr>
        <w:t xml:space="preserve">Promote </w:t>
      </w:r>
      <w:r w:rsidR="0091759F">
        <w:rPr>
          <w:rFonts w:ascii="Arial" w:hAnsi="Arial" w:cs="Arial"/>
        </w:rPr>
        <w:t>end-to-</w:t>
      </w:r>
      <w:r>
        <w:rPr>
          <w:rFonts w:ascii="Arial" w:hAnsi="Arial" w:cs="Arial"/>
        </w:rPr>
        <w:t>end connectivity with all Adelante sectors</w:t>
      </w:r>
    </w:p>
    <w:p w:rsidR="00247505" w:rsidRPr="009C4B43" w:rsidRDefault="00247505" w:rsidP="001F6922">
      <w:pPr>
        <w:numPr>
          <w:ilvl w:val="1"/>
          <w:numId w:val="8"/>
        </w:numPr>
        <w:rPr>
          <w:rFonts w:ascii="Arial" w:hAnsi="Arial" w:cs="Arial"/>
        </w:rPr>
      </w:pPr>
      <w:r w:rsidRPr="009C4B43">
        <w:rPr>
          <w:rFonts w:ascii="Arial" w:hAnsi="Arial" w:cs="Arial"/>
        </w:rPr>
        <w:t>Encourage formation of groups in non-represented areas</w:t>
      </w:r>
    </w:p>
    <w:p w:rsidR="009C4B43" w:rsidRDefault="009C4B43" w:rsidP="001F6922">
      <w:pPr>
        <w:numPr>
          <w:ilvl w:val="1"/>
          <w:numId w:val="8"/>
        </w:numPr>
        <w:rPr>
          <w:rFonts w:ascii="Arial" w:hAnsi="Arial" w:cs="Arial"/>
        </w:rPr>
      </w:pPr>
      <w:r w:rsidRPr="003D4FE9">
        <w:rPr>
          <w:rFonts w:ascii="Arial" w:hAnsi="Arial" w:cs="Arial"/>
        </w:rPr>
        <w:t>Provides recommendations on Regional chapters, following notification by the Adelante sector board/chapter</w:t>
      </w:r>
    </w:p>
    <w:p w:rsidR="009C4B43" w:rsidRPr="00D02F8E" w:rsidRDefault="00247505" w:rsidP="001F6922">
      <w:pPr>
        <w:numPr>
          <w:ilvl w:val="1"/>
          <w:numId w:val="8"/>
        </w:numPr>
        <w:rPr>
          <w:rFonts w:ascii="Arial" w:hAnsi="Arial" w:cs="Arial"/>
        </w:rPr>
      </w:pPr>
      <w:r w:rsidRPr="00734F6C">
        <w:rPr>
          <w:rFonts w:ascii="Arial" w:hAnsi="Arial" w:cs="Arial"/>
        </w:rPr>
        <w:t>Ensure consistency of message and program foundation</w:t>
      </w:r>
    </w:p>
    <w:p w:rsidR="00D65DE4" w:rsidRDefault="00D65DE4" w:rsidP="001F6922">
      <w:pPr>
        <w:numPr>
          <w:ilvl w:val="0"/>
          <w:numId w:val="8"/>
        </w:numPr>
        <w:rPr>
          <w:rFonts w:ascii="Arial" w:hAnsi="Arial" w:cs="Arial"/>
        </w:rPr>
      </w:pPr>
      <w:r>
        <w:rPr>
          <w:rFonts w:ascii="Arial" w:hAnsi="Arial" w:cs="Arial"/>
        </w:rPr>
        <w:t xml:space="preserve">Be the voice into the </w:t>
      </w:r>
      <w:r w:rsidR="0091759F">
        <w:rPr>
          <w:rFonts w:ascii="Arial" w:hAnsi="Arial" w:cs="Arial"/>
        </w:rPr>
        <w:t xml:space="preserve">Corporate </w:t>
      </w:r>
      <w:r>
        <w:rPr>
          <w:rFonts w:ascii="Arial" w:hAnsi="Arial" w:cs="Arial"/>
        </w:rPr>
        <w:t xml:space="preserve">office for </w:t>
      </w:r>
      <w:r w:rsidR="003F2E4E">
        <w:rPr>
          <w:rFonts w:ascii="Arial" w:hAnsi="Arial" w:cs="Arial"/>
        </w:rPr>
        <w:t xml:space="preserve">One </w:t>
      </w:r>
      <w:r>
        <w:rPr>
          <w:rFonts w:ascii="Arial" w:hAnsi="Arial" w:cs="Arial"/>
        </w:rPr>
        <w:t>Adelante</w:t>
      </w:r>
    </w:p>
    <w:p w:rsidR="00D65DE4" w:rsidRDefault="00D65DE4" w:rsidP="001F6922">
      <w:pPr>
        <w:numPr>
          <w:ilvl w:val="1"/>
          <w:numId w:val="8"/>
        </w:numPr>
        <w:rPr>
          <w:rFonts w:ascii="Arial" w:hAnsi="Arial" w:cs="Arial"/>
        </w:rPr>
      </w:pPr>
      <w:r>
        <w:rPr>
          <w:rFonts w:ascii="Arial" w:hAnsi="Arial" w:cs="Arial"/>
        </w:rPr>
        <w:t xml:space="preserve">Represent </w:t>
      </w:r>
      <w:r w:rsidR="003F2E4E">
        <w:rPr>
          <w:rFonts w:ascii="Arial" w:hAnsi="Arial" w:cs="Arial"/>
        </w:rPr>
        <w:t xml:space="preserve">One </w:t>
      </w:r>
      <w:r>
        <w:rPr>
          <w:rFonts w:ascii="Arial" w:hAnsi="Arial" w:cs="Arial"/>
        </w:rPr>
        <w:t>Adelante at the Corporate Diversity Council Meetings</w:t>
      </w:r>
    </w:p>
    <w:p w:rsidR="00D65DE4" w:rsidRPr="00D65DE4" w:rsidRDefault="00D65DE4" w:rsidP="001F6922">
      <w:pPr>
        <w:numPr>
          <w:ilvl w:val="1"/>
          <w:numId w:val="8"/>
        </w:numPr>
        <w:rPr>
          <w:rFonts w:ascii="Arial" w:hAnsi="Arial" w:cs="Arial"/>
        </w:rPr>
      </w:pPr>
      <w:r>
        <w:rPr>
          <w:rFonts w:ascii="Arial" w:hAnsi="Arial" w:cs="Arial"/>
        </w:rPr>
        <w:t>Provide feedback on initiatives of interest for the Adelante members</w:t>
      </w:r>
    </w:p>
    <w:p w:rsidR="00394FD3" w:rsidRPr="00811D96" w:rsidRDefault="00C21D8B" w:rsidP="001F6922">
      <w:pPr>
        <w:numPr>
          <w:ilvl w:val="0"/>
          <w:numId w:val="8"/>
        </w:numPr>
        <w:rPr>
          <w:rFonts w:ascii="Arial" w:hAnsi="Arial" w:cs="Arial"/>
        </w:rPr>
      </w:pPr>
      <w:r>
        <w:rPr>
          <w:rFonts w:ascii="Arial" w:hAnsi="Arial" w:cs="Arial"/>
        </w:rPr>
        <w:t>Support i</w:t>
      </w:r>
      <w:r w:rsidR="00394FD3">
        <w:rPr>
          <w:rFonts w:ascii="Arial" w:hAnsi="Arial" w:cs="Arial"/>
        </w:rPr>
        <w:t>mplement</w:t>
      </w:r>
      <w:r>
        <w:rPr>
          <w:rFonts w:ascii="Arial" w:hAnsi="Arial" w:cs="Arial"/>
        </w:rPr>
        <w:t>ation of</w:t>
      </w:r>
      <w:r w:rsidR="00394FD3">
        <w:rPr>
          <w:rFonts w:ascii="Arial" w:hAnsi="Arial" w:cs="Arial"/>
        </w:rPr>
        <w:t xml:space="preserve"> </w:t>
      </w:r>
      <w:r>
        <w:rPr>
          <w:rFonts w:ascii="Arial" w:hAnsi="Arial" w:cs="Arial"/>
        </w:rPr>
        <w:t xml:space="preserve">the </w:t>
      </w:r>
      <w:r w:rsidR="00394FD3">
        <w:rPr>
          <w:rFonts w:ascii="Arial" w:hAnsi="Arial" w:cs="Arial"/>
        </w:rPr>
        <w:t>Enterprise Model across other Employee Resource Groups</w:t>
      </w:r>
    </w:p>
    <w:p w:rsidR="00247505" w:rsidRPr="00811D96" w:rsidRDefault="00247505" w:rsidP="001F6922">
      <w:pPr>
        <w:numPr>
          <w:ilvl w:val="0"/>
          <w:numId w:val="8"/>
        </w:numPr>
        <w:rPr>
          <w:rFonts w:ascii="Arial" w:hAnsi="Arial" w:cs="Arial"/>
        </w:rPr>
      </w:pPr>
      <w:r w:rsidRPr="00811D96">
        <w:rPr>
          <w:rFonts w:ascii="Arial" w:hAnsi="Arial" w:cs="Arial"/>
        </w:rPr>
        <w:t xml:space="preserve">Serve as program advocates and resources for </w:t>
      </w:r>
      <w:r>
        <w:rPr>
          <w:rFonts w:ascii="Arial" w:hAnsi="Arial" w:cs="Arial"/>
        </w:rPr>
        <w:t xml:space="preserve">the Sectors and the Campus/Regions </w:t>
      </w:r>
    </w:p>
    <w:p w:rsidR="009C4B43" w:rsidRPr="003D4FE9" w:rsidRDefault="009C4B43" w:rsidP="009C4B43">
      <w:pPr>
        <w:rPr>
          <w:rFonts w:ascii="Arial" w:hAnsi="Arial" w:cs="Arial"/>
        </w:rPr>
      </w:pPr>
    </w:p>
    <w:p w:rsidR="00247505" w:rsidRDefault="00247505" w:rsidP="00247505">
      <w:pPr>
        <w:rPr>
          <w:rFonts w:ascii="Arial" w:hAnsi="Arial" w:cs="Arial"/>
        </w:rPr>
      </w:pPr>
    </w:p>
    <w:p w:rsidR="00E416A1" w:rsidRPr="00247505" w:rsidRDefault="00E416A1" w:rsidP="00247505">
      <w:pPr>
        <w:rPr>
          <w:rFonts w:ascii="Arial" w:hAnsi="Arial" w:cs="Arial"/>
          <w:b/>
          <w:u w:val="single"/>
        </w:rPr>
      </w:pPr>
      <w:r w:rsidRPr="00247505">
        <w:rPr>
          <w:rFonts w:ascii="Arial" w:hAnsi="Arial" w:cs="Arial"/>
          <w:b/>
          <w:u w:val="single"/>
        </w:rPr>
        <w:t>Roles</w:t>
      </w:r>
    </w:p>
    <w:p w:rsidR="003D4FE9" w:rsidRPr="00811D96" w:rsidRDefault="00F10FCC" w:rsidP="00F10FCC">
      <w:pPr>
        <w:rPr>
          <w:rFonts w:ascii="Arial" w:hAnsi="Arial" w:cs="Arial"/>
        </w:rPr>
      </w:pPr>
      <w:r>
        <w:rPr>
          <w:rFonts w:ascii="Arial" w:hAnsi="Arial" w:cs="Arial"/>
        </w:rPr>
        <w:lastRenderedPageBreak/>
        <w:t xml:space="preserve">The following define the roles and responsibilities of the enterprise </w:t>
      </w:r>
      <w:r w:rsidR="00667090">
        <w:rPr>
          <w:rFonts w:ascii="Arial" w:hAnsi="Arial" w:cs="Arial"/>
        </w:rPr>
        <w:t>One Adelante</w:t>
      </w:r>
      <w:r>
        <w:rPr>
          <w:rFonts w:ascii="Arial" w:hAnsi="Arial" w:cs="Arial"/>
        </w:rPr>
        <w:t xml:space="preserve"> board:</w:t>
      </w:r>
    </w:p>
    <w:p w:rsidR="00E416A1" w:rsidRPr="00811D96" w:rsidRDefault="00E416A1" w:rsidP="00E416A1">
      <w:pPr>
        <w:rPr>
          <w:rFonts w:ascii="Arial" w:hAnsi="Arial" w:cs="Arial"/>
        </w:rPr>
      </w:pPr>
    </w:p>
    <w:p w:rsidR="00E05966" w:rsidRPr="00E05966" w:rsidRDefault="00E416A1" w:rsidP="00E416A1">
      <w:pPr>
        <w:rPr>
          <w:rFonts w:ascii="Arial" w:hAnsi="Arial" w:cs="Arial"/>
          <w:b/>
        </w:rPr>
      </w:pPr>
      <w:r w:rsidRPr="00E05966">
        <w:rPr>
          <w:rFonts w:ascii="Arial" w:hAnsi="Arial" w:cs="Arial"/>
          <w:b/>
        </w:rPr>
        <w:t>Chair</w:t>
      </w:r>
      <w:r w:rsidR="00E05966" w:rsidRPr="00E05966">
        <w:rPr>
          <w:rFonts w:ascii="Arial" w:hAnsi="Arial" w:cs="Arial"/>
          <w:b/>
        </w:rPr>
        <w:t>:</w:t>
      </w:r>
    </w:p>
    <w:p w:rsidR="003D4FE9" w:rsidRDefault="003D4FE9" w:rsidP="001F6922">
      <w:pPr>
        <w:numPr>
          <w:ilvl w:val="0"/>
          <w:numId w:val="19"/>
        </w:numPr>
        <w:rPr>
          <w:rFonts w:ascii="Arial" w:hAnsi="Arial" w:cs="Arial"/>
        </w:rPr>
      </w:pPr>
      <w:r>
        <w:rPr>
          <w:rFonts w:ascii="Arial" w:hAnsi="Arial" w:cs="Arial"/>
        </w:rPr>
        <w:t xml:space="preserve">Shall be the administrative officer for </w:t>
      </w:r>
      <w:r w:rsidR="00667090">
        <w:rPr>
          <w:rFonts w:ascii="Arial" w:hAnsi="Arial" w:cs="Arial"/>
        </w:rPr>
        <w:t>One Adelante</w:t>
      </w:r>
      <w:r>
        <w:rPr>
          <w:rFonts w:ascii="Arial" w:hAnsi="Arial" w:cs="Arial"/>
        </w:rPr>
        <w:t xml:space="preserve"> </w:t>
      </w:r>
    </w:p>
    <w:p w:rsidR="003D4FE9" w:rsidRDefault="003D4FE9" w:rsidP="001F6922">
      <w:pPr>
        <w:numPr>
          <w:ilvl w:val="0"/>
          <w:numId w:val="19"/>
        </w:numPr>
        <w:rPr>
          <w:rFonts w:ascii="Arial" w:hAnsi="Arial" w:cs="Arial"/>
        </w:rPr>
      </w:pPr>
      <w:r w:rsidRPr="00D57E5D">
        <w:rPr>
          <w:rFonts w:ascii="Arial" w:hAnsi="Arial" w:cs="Arial"/>
        </w:rPr>
        <w:t xml:space="preserve">Shall be the spokesperson for </w:t>
      </w:r>
      <w:r w:rsidR="00667090">
        <w:rPr>
          <w:rFonts w:ascii="Arial" w:hAnsi="Arial" w:cs="Arial"/>
        </w:rPr>
        <w:t>One Adelante</w:t>
      </w:r>
    </w:p>
    <w:p w:rsidR="003D4FE9" w:rsidRDefault="003D4FE9" w:rsidP="001F6922">
      <w:pPr>
        <w:numPr>
          <w:ilvl w:val="1"/>
          <w:numId w:val="19"/>
        </w:numPr>
        <w:rPr>
          <w:rFonts w:ascii="Arial" w:hAnsi="Arial" w:cs="Arial"/>
        </w:rPr>
      </w:pPr>
      <w:r w:rsidRPr="00D57E5D">
        <w:rPr>
          <w:rFonts w:ascii="Arial" w:hAnsi="Arial" w:cs="Arial"/>
        </w:rPr>
        <w:t>Shall preside over all meetings</w:t>
      </w:r>
    </w:p>
    <w:p w:rsidR="003D4FE9" w:rsidRPr="00D57E5D" w:rsidRDefault="003D4FE9" w:rsidP="001F6922">
      <w:pPr>
        <w:numPr>
          <w:ilvl w:val="1"/>
          <w:numId w:val="19"/>
        </w:numPr>
        <w:rPr>
          <w:rFonts w:ascii="Arial" w:hAnsi="Arial" w:cs="Arial"/>
        </w:rPr>
      </w:pPr>
      <w:r>
        <w:rPr>
          <w:rFonts w:ascii="Arial" w:hAnsi="Arial" w:cs="Arial"/>
        </w:rPr>
        <w:t xml:space="preserve">Represents </w:t>
      </w:r>
      <w:r w:rsidR="00667090">
        <w:rPr>
          <w:rFonts w:ascii="Arial" w:hAnsi="Arial" w:cs="Arial"/>
        </w:rPr>
        <w:t>One Adelante</w:t>
      </w:r>
      <w:r>
        <w:rPr>
          <w:rFonts w:ascii="Arial" w:hAnsi="Arial" w:cs="Arial"/>
        </w:rPr>
        <w:t xml:space="preserve"> at the corporate diversity council meetings</w:t>
      </w:r>
    </w:p>
    <w:p w:rsidR="003D4FE9" w:rsidRDefault="003D4FE9" w:rsidP="001F6922">
      <w:pPr>
        <w:numPr>
          <w:ilvl w:val="0"/>
          <w:numId w:val="19"/>
        </w:numPr>
        <w:rPr>
          <w:rFonts w:ascii="Arial" w:hAnsi="Arial" w:cs="Arial"/>
        </w:rPr>
      </w:pPr>
      <w:r w:rsidRPr="00D57E5D">
        <w:rPr>
          <w:rFonts w:ascii="Arial" w:hAnsi="Arial" w:cs="Arial"/>
        </w:rPr>
        <w:t xml:space="preserve">Shall ensure that the organization </w:t>
      </w:r>
      <w:r>
        <w:rPr>
          <w:rFonts w:ascii="Arial" w:hAnsi="Arial" w:cs="Arial"/>
        </w:rPr>
        <w:t>works in line with business objectives with collaboration of the rest of the enterprise board</w:t>
      </w:r>
    </w:p>
    <w:p w:rsidR="003D4FE9" w:rsidRPr="00D57E5D" w:rsidRDefault="003D4FE9" w:rsidP="001F6922">
      <w:pPr>
        <w:numPr>
          <w:ilvl w:val="0"/>
          <w:numId w:val="19"/>
        </w:numPr>
        <w:rPr>
          <w:rFonts w:ascii="Arial" w:hAnsi="Arial" w:cs="Arial"/>
        </w:rPr>
      </w:pPr>
      <w:r>
        <w:rPr>
          <w:rFonts w:ascii="Arial" w:hAnsi="Arial" w:cs="Arial"/>
        </w:rPr>
        <w:t xml:space="preserve">Shall provide strategic direction to the </w:t>
      </w:r>
      <w:r w:rsidR="00667090">
        <w:rPr>
          <w:rFonts w:ascii="Arial" w:hAnsi="Arial" w:cs="Arial"/>
        </w:rPr>
        <w:t>One Adelante</w:t>
      </w:r>
      <w:r>
        <w:rPr>
          <w:rFonts w:ascii="Arial" w:hAnsi="Arial" w:cs="Arial"/>
        </w:rPr>
        <w:t xml:space="preserve"> team in coordination with the strategic planning representative and the rest of the enterprise board.</w:t>
      </w:r>
    </w:p>
    <w:p w:rsidR="003D4FE9" w:rsidRPr="00D57E5D" w:rsidRDefault="003D4FE9" w:rsidP="001F6922">
      <w:pPr>
        <w:numPr>
          <w:ilvl w:val="0"/>
          <w:numId w:val="19"/>
        </w:numPr>
        <w:rPr>
          <w:rFonts w:ascii="Arial" w:hAnsi="Arial" w:cs="Arial"/>
        </w:rPr>
      </w:pPr>
      <w:r w:rsidRPr="00D57E5D">
        <w:rPr>
          <w:rFonts w:ascii="Arial" w:hAnsi="Arial" w:cs="Arial"/>
        </w:rPr>
        <w:t>Shall be resp</w:t>
      </w:r>
      <w:r w:rsidR="00F10FCC">
        <w:rPr>
          <w:rFonts w:ascii="Arial" w:hAnsi="Arial" w:cs="Arial"/>
        </w:rPr>
        <w:t xml:space="preserve">onsible for interfacing with </w:t>
      </w:r>
      <w:r w:rsidR="00C21D8B">
        <w:rPr>
          <w:rFonts w:ascii="Arial" w:hAnsi="Arial" w:cs="Arial"/>
        </w:rPr>
        <w:t>Northrop Grumman</w:t>
      </w:r>
      <w:r w:rsidR="00C21D8B" w:rsidRPr="00D57E5D">
        <w:rPr>
          <w:rFonts w:ascii="Arial" w:hAnsi="Arial" w:cs="Arial"/>
        </w:rPr>
        <w:t xml:space="preserve"> </w:t>
      </w:r>
      <w:r w:rsidR="00F10FCC">
        <w:rPr>
          <w:rFonts w:ascii="Arial" w:hAnsi="Arial" w:cs="Arial"/>
        </w:rPr>
        <w:t>Adelante s</w:t>
      </w:r>
      <w:r>
        <w:rPr>
          <w:rFonts w:ascii="Arial" w:hAnsi="Arial" w:cs="Arial"/>
        </w:rPr>
        <w:t>ector</w:t>
      </w:r>
      <w:r w:rsidR="00F10FCC">
        <w:rPr>
          <w:rFonts w:ascii="Arial" w:hAnsi="Arial" w:cs="Arial"/>
        </w:rPr>
        <w:t xml:space="preserve"> c</w:t>
      </w:r>
      <w:r w:rsidRPr="00D57E5D">
        <w:rPr>
          <w:rFonts w:ascii="Arial" w:hAnsi="Arial" w:cs="Arial"/>
        </w:rPr>
        <w:t>hairs</w:t>
      </w:r>
    </w:p>
    <w:p w:rsidR="003D4FE9" w:rsidRPr="00811D96" w:rsidRDefault="00F10FCC" w:rsidP="001F6922">
      <w:pPr>
        <w:numPr>
          <w:ilvl w:val="0"/>
          <w:numId w:val="19"/>
        </w:numPr>
        <w:rPr>
          <w:rFonts w:ascii="Arial" w:hAnsi="Arial" w:cs="Arial"/>
        </w:rPr>
      </w:pPr>
      <w:r>
        <w:rPr>
          <w:rFonts w:ascii="Arial" w:hAnsi="Arial" w:cs="Arial"/>
        </w:rPr>
        <w:t>Shall preside over</w:t>
      </w:r>
      <w:r w:rsidR="003D4FE9" w:rsidRPr="00811D96">
        <w:rPr>
          <w:rFonts w:ascii="Arial" w:hAnsi="Arial" w:cs="Arial"/>
        </w:rPr>
        <w:t xml:space="preserve"> </w:t>
      </w:r>
      <w:r w:rsidR="003F2E4E">
        <w:rPr>
          <w:rFonts w:ascii="Arial" w:hAnsi="Arial" w:cs="Arial"/>
        </w:rPr>
        <w:t>monthly</w:t>
      </w:r>
      <w:r w:rsidR="003F2E4E" w:rsidRPr="00811D96">
        <w:rPr>
          <w:rFonts w:ascii="Arial" w:hAnsi="Arial" w:cs="Arial"/>
        </w:rPr>
        <w:t xml:space="preserve"> </w:t>
      </w:r>
      <w:r w:rsidR="003D4FE9" w:rsidRPr="00811D96">
        <w:rPr>
          <w:rFonts w:ascii="Arial" w:hAnsi="Arial" w:cs="Arial"/>
        </w:rPr>
        <w:t xml:space="preserve">meetings </w:t>
      </w:r>
      <w:r>
        <w:rPr>
          <w:rFonts w:ascii="Arial" w:hAnsi="Arial" w:cs="Arial"/>
        </w:rPr>
        <w:t xml:space="preserve">for the </w:t>
      </w:r>
      <w:r w:rsidR="00667090">
        <w:rPr>
          <w:rFonts w:ascii="Arial" w:hAnsi="Arial" w:cs="Arial"/>
        </w:rPr>
        <w:t>One Adelante</w:t>
      </w:r>
      <w:r>
        <w:rPr>
          <w:rFonts w:ascii="Arial" w:hAnsi="Arial" w:cs="Arial"/>
        </w:rPr>
        <w:t xml:space="preserve"> board</w:t>
      </w:r>
    </w:p>
    <w:p w:rsidR="00E416A1" w:rsidRPr="00811D96" w:rsidRDefault="00E416A1" w:rsidP="00E416A1">
      <w:pPr>
        <w:rPr>
          <w:rFonts w:ascii="Arial" w:hAnsi="Arial" w:cs="Arial"/>
        </w:rPr>
      </w:pPr>
    </w:p>
    <w:p w:rsidR="00E05966" w:rsidRPr="00247505" w:rsidRDefault="003C17C6" w:rsidP="00E416A1">
      <w:pPr>
        <w:rPr>
          <w:rFonts w:ascii="Arial" w:hAnsi="Arial" w:cs="Arial"/>
          <w:b/>
        </w:rPr>
      </w:pPr>
      <w:r w:rsidRPr="00247505">
        <w:rPr>
          <w:rFonts w:ascii="Arial" w:hAnsi="Arial" w:cs="Arial"/>
          <w:b/>
        </w:rPr>
        <w:t>Vice Chair</w:t>
      </w:r>
      <w:r w:rsidR="00E05966" w:rsidRPr="00247505">
        <w:rPr>
          <w:rFonts w:ascii="Arial" w:hAnsi="Arial" w:cs="Arial"/>
          <w:b/>
        </w:rPr>
        <w:t>:</w:t>
      </w:r>
    </w:p>
    <w:p w:rsidR="003D4FE9" w:rsidRPr="00D57E5D" w:rsidRDefault="003D4FE9" w:rsidP="001F6922">
      <w:pPr>
        <w:numPr>
          <w:ilvl w:val="0"/>
          <w:numId w:val="20"/>
        </w:numPr>
        <w:ind w:left="810"/>
        <w:rPr>
          <w:rFonts w:ascii="Arial" w:hAnsi="Arial" w:cs="Arial"/>
        </w:rPr>
      </w:pPr>
      <w:r w:rsidRPr="00D57E5D">
        <w:rPr>
          <w:rFonts w:ascii="Arial" w:hAnsi="Arial" w:cs="Arial"/>
        </w:rPr>
        <w:t xml:space="preserve">Shall act on behalf of </w:t>
      </w:r>
      <w:r w:rsidR="00667090">
        <w:rPr>
          <w:rFonts w:ascii="Arial" w:hAnsi="Arial" w:cs="Arial"/>
        </w:rPr>
        <w:t>One Adelante</w:t>
      </w:r>
      <w:r w:rsidR="00F10FCC">
        <w:rPr>
          <w:rFonts w:ascii="Arial" w:hAnsi="Arial" w:cs="Arial"/>
        </w:rPr>
        <w:t xml:space="preserve"> </w:t>
      </w:r>
      <w:r w:rsidRPr="00D57E5D">
        <w:rPr>
          <w:rFonts w:ascii="Arial" w:hAnsi="Arial" w:cs="Arial"/>
        </w:rPr>
        <w:t>in the absence of the Chair</w:t>
      </w:r>
    </w:p>
    <w:p w:rsidR="00F10FCC" w:rsidRDefault="003D4FE9" w:rsidP="001F6922">
      <w:pPr>
        <w:numPr>
          <w:ilvl w:val="0"/>
          <w:numId w:val="20"/>
        </w:numPr>
        <w:ind w:left="810"/>
        <w:rPr>
          <w:rFonts w:ascii="Arial" w:hAnsi="Arial" w:cs="Arial"/>
        </w:rPr>
      </w:pPr>
      <w:r w:rsidRPr="00F10FCC">
        <w:rPr>
          <w:rFonts w:ascii="Arial" w:hAnsi="Arial" w:cs="Arial"/>
        </w:rPr>
        <w:t>Shall participate in all strategy, planning and implementation meetings</w:t>
      </w:r>
    </w:p>
    <w:p w:rsidR="003D4FE9" w:rsidRPr="00F10FCC" w:rsidRDefault="003D4FE9" w:rsidP="001F6922">
      <w:pPr>
        <w:numPr>
          <w:ilvl w:val="0"/>
          <w:numId w:val="20"/>
        </w:numPr>
        <w:ind w:left="810"/>
        <w:rPr>
          <w:rFonts w:ascii="Arial" w:hAnsi="Arial" w:cs="Arial"/>
        </w:rPr>
      </w:pPr>
      <w:r w:rsidRPr="00F10FCC">
        <w:rPr>
          <w:rFonts w:ascii="Arial" w:hAnsi="Arial" w:cs="Arial"/>
        </w:rPr>
        <w:t xml:space="preserve">Shall ensure </w:t>
      </w:r>
      <w:r w:rsidR="00273C88">
        <w:rPr>
          <w:rFonts w:ascii="Arial" w:hAnsi="Arial" w:cs="Arial"/>
        </w:rPr>
        <w:t>monthly</w:t>
      </w:r>
      <w:r w:rsidR="00AC36F1">
        <w:rPr>
          <w:rFonts w:ascii="Arial" w:hAnsi="Arial" w:cs="Arial"/>
        </w:rPr>
        <w:t xml:space="preserve"> </w:t>
      </w:r>
      <w:r w:rsidRPr="00F10FCC">
        <w:rPr>
          <w:rFonts w:ascii="Arial" w:hAnsi="Arial" w:cs="Arial"/>
        </w:rPr>
        <w:t xml:space="preserve">status </w:t>
      </w:r>
      <w:r w:rsidR="00F10FCC">
        <w:rPr>
          <w:rFonts w:ascii="Arial" w:hAnsi="Arial" w:cs="Arial"/>
        </w:rPr>
        <w:t>is collected from the Adelante sector c</w:t>
      </w:r>
      <w:r w:rsidRPr="00F10FCC">
        <w:rPr>
          <w:rFonts w:ascii="Arial" w:hAnsi="Arial" w:cs="Arial"/>
        </w:rPr>
        <w:t>hairs</w:t>
      </w:r>
    </w:p>
    <w:p w:rsidR="003D4FE9" w:rsidRDefault="003D4FE9" w:rsidP="001F6922">
      <w:pPr>
        <w:numPr>
          <w:ilvl w:val="0"/>
          <w:numId w:val="20"/>
        </w:numPr>
        <w:ind w:left="810"/>
        <w:rPr>
          <w:rFonts w:ascii="Arial" w:hAnsi="Arial" w:cs="Arial"/>
        </w:rPr>
      </w:pPr>
      <w:r w:rsidRPr="00D57E5D">
        <w:rPr>
          <w:rFonts w:ascii="Arial" w:hAnsi="Arial" w:cs="Arial"/>
        </w:rPr>
        <w:t>Shall track all action items to completion or closure</w:t>
      </w:r>
    </w:p>
    <w:p w:rsidR="003D4FE9" w:rsidRDefault="003D4FE9" w:rsidP="001F6922">
      <w:pPr>
        <w:numPr>
          <w:ilvl w:val="0"/>
          <w:numId w:val="20"/>
        </w:numPr>
        <w:ind w:left="810"/>
        <w:rPr>
          <w:rFonts w:ascii="Arial" w:hAnsi="Arial" w:cs="Arial"/>
        </w:rPr>
      </w:pPr>
      <w:r w:rsidRPr="00811D96">
        <w:rPr>
          <w:rFonts w:ascii="Arial" w:hAnsi="Arial" w:cs="Arial"/>
        </w:rPr>
        <w:t>Serve</w:t>
      </w:r>
      <w:r>
        <w:rPr>
          <w:rFonts w:ascii="Arial" w:hAnsi="Arial" w:cs="Arial"/>
        </w:rPr>
        <w:t>s</w:t>
      </w:r>
      <w:r w:rsidRPr="00811D96">
        <w:rPr>
          <w:rFonts w:ascii="Arial" w:hAnsi="Arial" w:cs="Arial"/>
        </w:rPr>
        <w:t xml:space="preserve"> as liaison with other organizations</w:t>
      </w:r>
    </w:p>
    <w:p w:rsidR="004F033C" w:rsidRDefault="00524909" w:rsidP="001F6922">
      <w:pPr>
        <w:numPr>
          <w:ilvl w:val="0"/>
          <w:numId w:val="20"/>
        </w:numPr>
        <w:ind w:left="810"/>
        <w:rPr>
          <w:rFonts w:ascii="Arial" w:hAnsi="Arial" w:cs="Arial"/>
        </w:rPr>
      </w:pPr>
      <w:r>
        <w:rPr>
          <w:rFonts w:ascii="Arial" w:hAnsi="Arial" w:cs="Arial"/>
        </w:rPr>
        <w:t>Shall be responsible to maintain One Adelante Governance Model document</w:t>
      </w:r>
      <w:r w:rsidR="00BB41DF">
        <w:rPr>
          <w:rFonts w:ascii="Arial" w:hAnsi="Arial" w:cs="Arial"/>
        </w:rPr>
        <w:t>.</w:t>
      </w:r>
    </w:p>
    <w:p w:rsidR="00524909" w:rsidRDefault="00524909" w:rsidP="00867BE8">
      <w:pPr>
        <w:rPr>
          <w:rFonts w:ascii="Arial" w:hAnsi="Arial" w:cs="Arial"/>
        </w:rPr>
      </w:pPr>
    </w:p>
    <w:p w:rsidR="00E416A1" w:rsidRDefault="00E05966" w:rsidP="00E416A1">
      <w:pPr>
        <w:rPr>
          <w:rFonts w:ascii="Arial" w:hAnsi="Arial" w:cs="Arial"/>
          <w:b/>
        </w:rPr>
      </w:pPr>
      <w:r w:rsidRPr="00E05966">
        <w:rPr>
          <w:rFonts w:ascii="Arial" w:hAnsi="Arial" w:cs="Arial"/>
          <w:b/>
        </w:rPr>
        <w:t>Secretary:</w:t>
      </w:r>
    </w:p>
    <w:p w:rsidR="00D03239" w:rsidRPr="00D03239" w:rsidRDefault="00D03239" w:rsidP="001F6922">
      <w:pPr>
        <w:numPr>
          <w:ilvl w:val="0"/>
          <w:numId w:val="21"/>
        </w:numPr>
        <w:rPr>
          <w:rFonts w:ascii="Arial" w:hAnsi="Arial" w:cs="Arial"/>
        </w:rPr>
      </w:pPr>
      <w:r w:rsidRPr="00D03239">
        <w:rPr>
          <w:rFonts w:ascii="Arial" w:hAnsi="Arial" w:cs="Arial"/>
        </w:rPr>
        <w:t xml:space="preserve">Shall participate in all </w:t>
      </w:r>
      <w:r w:rsidR="00667090">
        <w:rPr>
          <w:rFonts w:ascii="Arial" w:hAnsi="Arial" w:cs="Arial"/>
        </w:rPr>
        <w:t>One Adelante</w:t>
      </w:r>
      <w:r w:rsidR="00734F6C">
        <w:rPr>
          <w:rFonts w:ascii="Arial" w:hAnsi="Arial" w:cs="Arial"/>
        </w:rPr>
        <w:t xml:space="preserve"> </w:t>
      </w:r>
      <w:r w:rsidRPr="00D03239">
        <w:rPr>
          <w:rFonts w:ascii="Arial" w:hAnsi="Arial" w:cs="Arial"/>
        </w:rPr>
        <w:t xml:space="preserve">meetings </w:t>
      </w:r>
    </w:p>
    <w:p w:rsidR="00D03239" w:rsidRDefault="00D03239" w:rsidP="001F6922">
      <w:pPr>
        <w:numPr>
          <w:ilvl w:val="0"/>
          <w:numId w:val="21"/>
        </w:numPr>
        <w:rPr>
          <w:rFonts w:ascii="Arial" w:hAnsi="Arial" w:cs="Arial"/>
        </w:rPr>
      </w:pPr>
      <w:r w:rsidRPr="00D03239">
        <w:rPr>
          <w:rFonts w:ascii="Arial" w:hAnsi="Arial" w:cs="Arial"/>
        </w:rPr>
        <w:t xml:space="preserve">Shall record, distribute, and maintain minutes of all meetings </w:t>
      </w:r>
    </w:p>
    <w:p w:rsidR="00D03239" w:rsidRPr="00D03239" w:rsidRDefault="00D03239" w:rsidP="001F6922">
      <w:pPr>
        <w:numPr>
          <w:ilvl w:val="0"/>
          <w:numId w:val="21"/>
        </w:numPr>
        <w:rPr>
          <w:rFonts w:ascii="Arial" w:hAnsi="Arial" w:cs="Arial"/>
        </w:rPr>
      </w:pPr>
      <w:r w:rsidRPr="00D03239">
        <w:rPr>
          <w:rFonts w:ascii="Arial" w:hAnsi="Arial" w:cs="Arial"/>
        </w:rPr>
        <w:t xml:space="preserve">Shall maintain all correspondence and all </w:t>
      </w:r>
      <w:r w:rsidR="00667090">
        <w:rPr>
          <w:rFonts w:ascii="Arial" w:hAnsi="Arial" w:cs="Arial"/>
        </w:rPr>
        <w:t>One Adelante</w:t>
      </w:r>
      <w:r w:rsidR="00734F6C">
        <w:rPr>
          <w:rFonts w:ascii="Arial" w:hAnsi="Arial" w:cs="Arial"/>
        </w:rPr>
        <w:t xml:space="preserve"> </w:t>
      </w:r>
      <w:r w:rsidRPr="00D03239">
        <w:rPr>
          <w:rFonts w:ascii="Arial" w:hAnsi="Arial" w:cs="Arial"/>
        </w:rPr>
        <w:t>governing documents</w:t>
      </w:r>
    </w:p>
    <w:p w:rsidR="00D03239" w:rsidRPr="00D03239" w:rsidRDefault="00D03239" w:rsidP="001F6922">
      <w:pPr>
        <w:numPr>
          <w:ilvl w:val="0"/>
          <w:numId w:val="21"/>
        </w:numPr>
        <w:rPr>
          <w:rFonts w:ascii="Arial" w:hAnsi="Arial" w:cs="Arial"/>
        </w:rPr>
      </w:pPr>
      <w:r w:rsidRPr="00D03239">
        <w:rPr>
          <w:rFonts w:ascii="Arial" w:hAnsi="Arial" w:cs="Arial"/>
        </w:rPr>
        <w:t>Shall distribute meeting notices and all other pertinent information via e-mail</w:t>
      </w:r>
    </w:p>
    <w:p w:rsidR="00D03239" w:rsidRPr="00D03239" w:rsidRDefault="00D03239" w:rsidP="001F6922">
      <w:pPr>
        <w:numPr>
          <w:ilvl w:val="0"/>
          <w:numId w:val="21"/>
        </w:numPr>
        <w:rPr>
          <w:rFonts w:ascii="Arial" w:hAnsi="Arial" w:cs="Arial"/>
        </w:rPr>
      </w:pPr>
      <w:r w:rsidRPr="00D03239">
        <w:rPr>
          <w:rFonts w:ascii="Arial" w:hAnsi="Arial" w:cs="Arial"/>
        </w:rPr>
        <w:t xml:space="preserve">Shall coordinate the election process for </w:t>
      </w:r>
      <w:r>
        <w:rPr>
          <w:rFonts w:ascii="Arial" w:hAnsi="Arial" w:cs="Arial"/>
        </w:rPr>
        <w:t xml:space="preserve">the Enterprise </w:t>
      </w:r>
      <w:r w:rsidRPr="00D03239">
        <w:rPr>
          <w:rFonts w:ascii="Arial" w:hAnsi="Arial" w:cs="Arial"/>
        </w:rPr>
        <w:t>Board elections</w:t>
      </w:r>
    </w:p>
    <w:p w:rsidR="00D03239" w:rsidRDefault="00D03239" w:rsidP="001F6922">
      <w:pPr>
        <w:numPr>
          <w:ilvl w:val="0"/>
          <w:numId w:val="21"/>
        </w:numPr>
        <w:rPr>
          <w:rFonts w:ascii="Arial" w:hAnsi="Arial" w:cs="Arial"/>
        </w:rPr>
      </w:pPr>
      <w:r w:rsidRPr="00D03239">
        <w:rPr>
          <w:rFonts w:ascii="Arial" w:hAnsi="Arial" w:cs="Arial"/>
        </w:rPr>
        <w:t>Shall set up meeting locations and times</w:t>
      </w:r>
      <w:r w:rsidR="00CA6CFB">
        <w:rPr>
          <w:rFonts w:ascii="Arial" w:hAnsi="Arial" w:cs="Arial"/>
        </w:rPr>
        <w:t xml:space="preserve"> and ensure all information is distributed to the Enterprise Board</w:t>
      </w:r>
    </w:p>
    <w:p w:rsidR="009307CE" w:rsidRDefault="009307CE" w:rsidP="001F6922">
      <w:pPr>
        <w:numPr>
          <w:ilvl w:val="0"/>
          <w:numId w:val="21"/>
        </w:numPr>
        <w:rPr>
          <w:rFonts w:ascii="Arial" w:hAnsi="Arial" w:cs="Arial"/>
        </w:rPr>
      </w:pPr>
      <w:r>
        <w:rPr>
          <w:rFonts w:ascii="Arial" w:hAnsi="Arial" w:cs="Arial"/>
        </w:rPr>
        <w:t>Shall coordinate central repository with Communications Chair for common One Adelante documentation</w:t>
      </w:r>
    </w:p>
    <w:p w:rsidR="002D2DDB" w:rsidRDefault="002D2DDB">
      <w:pPr>
        <w:ind w:left="720"/>
        <w:rPr>
          <w:rFonts w:ascii="Arial" w:hAnsi="Arial" w:cs="Arial"/>
        </w:rPr>
      </w:pPr>
    </w:p>
    <w:p w:rsidR="00E05966" w:rsidRDefault="00E05966" w:rsidP="00E416A1">
      <w:pPr>
        <w:rPr>
          <w:rFonts w:ascii="Arial" w:hAnsi="Arial" w:cs="Arial"/>
          <w:b/>
        </w:rPr>
      </w:pPr>
      <w:r w:rsidRPr="00E05966">
        <w:rPr>
          <w:rFonts w:ascii="Arial" w:hAnsi="Arial" w:cs="Arial"/>
          <w:b/>
        </w:rPr>
        <w:t>Treasurer:</w:t>
      </w:r>
    </w:p>
    <w:p w:rsidR="007F1D22" w:rsidRPr="007F1D22" w:rsidRDefault="007F1D22" w:rsidP="001F6922">
      <w:pPr>
        <w:numPr>
          <w:ilvl w:val="0"/>
          <w:numId w:val="22"/>
        </w:numPr>
        <w:rPr>
          <w:rFonts w:ascii="Arial" w:hAnsi="Arial" w:cs="Arial"/>
        </w:rPr>
      </w:pPr>
      <w:r w:rsidRPr="007F1D22">
        <w:rPr>
          <w:rFonts w:ascii="Arial" w:hAnsi="Arial" w:cs="Arial"/>
        </w:rPr>
        <w:t xml:space="preserve">Shall participate in all </w:t>
      </w:r>
      <w:r w:rsidR="00667090">
        <w:rPr>
          <w:rFonts w:ascii="Arial" w:hAnsi="Arial" w:cs="Arial"/>
        </w:rPr>
        <w:t>One Adelante</w:t>
      </w:r>
      <w:r w:rsidR="00734F6C">
        <w:rPr>
          <w:rFonts w:ascii="Arial" w:hAnsi="Arial" w:cs="Arial"/>
        </w:rPr>
        <w:t xml:space="preserve"> </w:t>
      </w:r>
      <w:r w:rsidRPr="007F1D22">
        <w:rPr>
          <w:rFonts w:ascii="Arial" w:hAnsi="Arial" w:cs="Arial"/>
        </w:rPr>
        <w:t xml:space="preserve">meetings </w:t>
      </w:r>
    </w:p>
    <w:p w:rsidR="007F1D22" w:rsidRPr="007F1D22" w:rsidRDefault="007F1D22" w:rsidP="001F6922">
      <w:pPr>
        <w:numPr>
          <w:ilvl w:val="0"/>
          <w:numId w:val="22"/>
        </w:numPr>
        <w:rPr>
          <w:rFonts w:ascii="Arial" w:hAnsi="Arial" w:cs="Arial"/>
        </w:rPr>
      </w:pPr>
      <w:r w:rsidRPr="007F1D22">
        <w:rPr>
          <w:rFonts w:ascii="Arial" w:hAnsi="Arial" w:cs="Arial"/>
        </w:rPr>
        <w:t xml:space="preserve">Shall maintain the organization’s budget and provide quarterly financial reports  </w:t>
      </w:r>
    </w:p>
    <w:p w:rsidR="007F1D22" w:rsidRPr="007F1D22" w:rsidRDefault="007F1D22" w:rsidP="001F6922">
      <w:pPr>
        <w:numPr>
          <w:ilvl w:val="0"/>
          <w:numId w:val="22"/>
        </w:numPr>
        <w:rPr>
          <w:rFonts w:ascii="Arial" w:hAnsi="Arial" w:cs="Arial"/>
        </w:rPr>
      </w:pPr>
      <w:r w:rsidRPr="007F1D22">
        <w:rPr>
          <w:rFonts w:ascii="Arial" w:hAnsi="Arial" w:cs="Arial"/>
        </w:rPr>
        <w:t>Shall summarize all proposed spending vs. actual</w:t>
      </w:r>
    </w:p>
    <w:p w:rsidR="007F1D22" w:rsidRPr="007F1D22" w:rsidRDefault="007F1D22" w:rsidP="001F6922">
      <w:pPr>
        <w:numPr>
          <w:ilvl w:val="0"/>
          <w:numId w:val="22"/>
        </w:numPr>
        <w:rPr>
          <w:rFonts w:ascii="Arial" w:hAnsi="Arial" w:cs="Arial"/>
        </w:rPr>
      </w:pPr>
      <w:r w:rsidRPr="007F1D22">
        <w:rPr>
          <w:rFonts w:ascii="Arial" w:hAnsi="Arial" w:cs="Arial"/>
        </w:rPr>
        <w:t>Shall be solely responsible for handling any m</w:t>
      </w:r>
      <w:r w:rsidR="00667090">
        <w:rPr>
          <w:rFonts w:ascii="Arial" w:hAnsi="Arial" w:cs="Arial"/>
        </w:rPr>
        <w:t>one</w:t>
      </w:r>
      <w:r w:rsidRPr="007F1D22">
        <w:rPr>
          <w:rFonts w:ascii="Arial" w:hAnsi="Arial" w:cs="Arial"/>
        </w:rPr>
        <w:t xml:space="preserve">y internally or externally on behalf of </w:t>
      </w:r>
      <w:r w:rsidR="00667090">
        <w:rPr>
          <w:rFonts w:ascii="Arial" w:hAnsi="Arial" w:cs="Arial"/>
        </w:rPr>
        <w:t>One Adelante</w:t>
      </w:r>
    </w:p>
    <w:p w:rsidR="007F1D22" w:rsidRDefault="007F1D22" w:rsidP="001F6922">
      <w:pPr>
        <w:numPr>
          <w:ilvl w:val="0"/>
          <w:numId w:val="22"/>
        </w:numPr>
        <w:rPr>
          <w:rFonts w:ascii="Arial" w:hAnsi="Arial" w:cs="Arial"/>
        </w:rPr>
      </w:pPr>
      <w:r w:rsidRPr="007F1D22">
        <w:rPr>
          <w:rFonts w:ascii="Arial" w:hAnsi="Arial" w:cs="Arial"/>
        </w:rPr>
        <w:t xml:space="preserve">Shall submit an annual budget request to the </w:t>
      </w:r>
      <w:r>
        <w:rPr>
          <w:rFonts w:ascii="Arial" w:hAnsi="Arial" w:cs="Arial"/>
        </w:rPr>
        <w:t xml:space="preserve">Corporate </w:t>
      </w:r>
      <w:r w:rsidR="00024268">
        <w:rPr>
          <w:rFonts w:ascii="Arial" w:hAnsi="Arial" w:cs="Arial"/>
        </w:rPr>
        <w:t xml:space="preserve"> Responsibility Office</w:t>
      </w:r>
      <w:r w:rsidRPr="007F1D22">
        <w:rPr>
          <w:rFonts w:ascii="Arial" w:hAnsi="Arial" w:cs="Arial"/>
        </w:rPr>
        <w:t xml:space="preserve"> for approval</w:t>
      </w:r>
    </w:p>
    <w:p w:rsidR="005D5A89" w:rsidRDefault="005D5A89" w:rsidP="001F6922">
      <w:pPr>
        <w:numPr>
          <w:ilvl w:val="0"/>
          <w:numId w:val="22"/>
        </w:numPr>
        <w:rPr>
          <w:rFonts w:ascii="Arial" w:hAnsi="Arial" w:cs="Arial"/>
        </w:rPr>
      </w:pPr>
      <w:r>
        <w:rPr>
          <w:rFonts w:ascii="Arial" w:hAnsi="Arial" w:cs="Arial"/>
        </w:rPr>
        <w:t>Shall submit ensure expenditures are promptly coordinated with Corporate Office and paid</w:t>
      </w:r>
    </w:p>
    <w:p w:rsidR="00AC36F1" w:rsidRDefault="00AC36F1" w:rsidP="00E416A1">
      <w:pPr>
        <w:rPr>
          <w:rFonts w:ascii="Arial" w:hAnsi="Arial" w:cs="Arial"/>
          <w:b/>
        </w:rPr>
      </w:pPr>
    </w:p>
    <w:p w:rsidR="001E062E" w:rsidRDefault="001E062E" w:rsidP="00E416A1">
      <w:pPr>
        <w:rPr>
          <w:rFonts w:ascii="Arial" w:hAnsi="Arial" w:cs="Arial"/>
          <w:b/>
        </w:rPr>
      </w:pPr>
    </w:p>
    <w:p w:rsidR="00AC36F1" w:rsidRDefault="00AC36F1" w:rsidP="00E416A1">
      <w:pPr>
        <w:rPr>
          <w:rFonts w:ascii="Arial" w:hAnsi="Arial" w:cs="Arial"/>
          <w:b/>
        </w:rPr>
      </w:pPr>
    </w:p>
    <w:p w:rsidR="00E05966" w:rsidRPr="00E1689B" w:rsidRDefault="00E05966" w:rsidP="00E416A1">
      <w:pPr>
        <w:rPr>
          <w:rFonts w:ascii="Arial" w:hAnsi="Arial" w:cs="Arial"/>
          <w:b/>
        </w:rPr>
      </w:pPr>
      <w:r w:rsidRPr="00E1689B">
        <w:rPr>
          <w:rFonts w:ascii="Arial" w:hAnsi="Arial" w:cs="Arial"/>
          <w:b/>
        </w:rPr>
        <w:t>Awards &amp; Recognition:</w:t>
      </w:r>
      <w:r w:rsidR="009B3C17" w:rsidRPr="00E1689B">
        <w:rPr>
          <w:rFonts w:ascii="Arial" w:hAnsi="Arial" w:cs="Arial"/>
          <w:b/>
        </w:rPr>
        <w:t xml:space="preserve"> </w:t>
      </w:r>
    </w:p>
    <w:p w:rsidR="007F1D22" w:rsidRPr="00E1689B" w:rsidRDefault="007F1D22" w:rsidP="001F6922">
      <w:pPr>
        <w:numPr>
          <w:ilvl w:val="0"/>
          <w:numId w:val="23"/>
        </w:numPr>
        <w:rPr>
          <w:rFonts w:ascii="Arial" w:hAnsi="Arial" w:cs="Arial"/>
        </w:rPr>
      </w:pPr>
      <w:r w:rsidRPr="00E1689B">
        <w:rPr>
          <w:rFonts w:ascii="Arial" w:hAnsi="Arial" w:cs="Arial"/>
        </w:rPr>
        <w:t xml:space="preserve">Shall be responsible </w:t>
      </w:r>
      <w:r w:rsidR="00CF118D">
        <w:rPr>
          <w:rFonts w:ascii="Arial" w:hAnsi="Arial" w:cs="Arial"/>
        </w:rPr>
        <w:t xml:space="preserve">to develop and communicate the best practices approach for </w:t>
      </w:r>
      <w:r w:rsidRPr="00E1689B">
        <w:rPr>
          <w:rFonts w:ascii="Arial" w:hAnsi="Arial" w:cs="Arial"/>
        </w:rPr>
        <w:t xml:space="preserve"> </w:t>
      </w:r>
      <w:r w:rsidR="00CF118D">
        <w:rPr>
          <w:rFonts w:ascii="Arial" w:hAnsi="Arial" w:cs="Arial"/>
        </w:rPr>
        <w:t xml:space="preserve"> </w:t>
      </w:r>
      <w:r w:rsidR="003F2E4E">
        <w:rPr>
          <w:rFonts w:ascii="Arial" w:hAnsi="Arial" w:cs="Arial"/>
        </w:rPr>
        <w:t>diversity conference awards (e.g., HENAAC, SHPE)</w:t>
      </w:r>
      <w:r w:rsidR="00CF118D">
        <w:rPr>
          <w:rFonts w:ascii="Arial" w:hAnsi="Arial" w:cs="Arial"/>
        </w:rPr>
        <w:t xml:space="preserve"> in coordination with the sector Diversity &amp; Inclusion office</w:t>
      </w:r>
    </w:p>
    <w:p w:rsidR="007F1D22" w:rsidRPr="00E1689B" w:rsidRDefault="007F1D22" w:rsidP="001F6922">
      <w:pPr>
        <w:numPr>
          <w:ilvl w:val="0"/>
          <w:numId w:val="23"/>
        </w:numPr>
        <w:rPr>
          <w:rFonts w:ascii="Arial" w:hAnsi="Arial" w:cs="Arial"/>
        </w:rPr>
      </w:pPr>
      <w:r w:rsidRPr="00E1689B">
        <w:rPr>
          <w:rFonts w:ascii="Arial" w:hAnsi="Arial" w:cs="Arial"/>
        </w:rPr>
        <w:t xml:space="preserve">Shall be responsible for announcing to the entire </w:t>
      </w:r>
      <w:r w:rsidR="00667090">
        <w:rPr>
          <w:rFonts w:ascii="Arial" w:hAnsi="Arial" w:cs="Arial"/>
        </w:rPr>
        <w:t>One Adelante</w:t>
      </w:r>
      <w:r w:rsidRPr="00E1689B">
        <w:rPr>
          <w:rFonts w:ascii="Arial" w:hAnsi="Arial" w:cs="Arial"/>
        </w:rPr>
        <w:t xml:space="preserve"> team the selected individuals going forth for each conference as possible candidates </w:t>
      </w:r>
    </w:p>
    <w:p w:rsidR="007F1D22" w:rsidRPr="00E1689B" w:rsidRDefault="007F1D22" w:rsidP="001F6922">
      <w:pPr>
        <w:numPr>
          <w:ilvl w:val="0"/>
          <w:numId w:val="23"/>
        </w:numPr>
        <w:rPr>
          <w:rFonts w:ascii="Arial" w:hAnsi="Arial" w:cs="Arial"/>
        </w:rPr>
      </w:pPr>
      <w:r w:rsidRPr="00E1689B">
        <w:rPr>
          <w:rFonts w:ascii="Arial" w:hAnsi="Arial" w:cs="Arial"/>
        </w:rPr>
        <w:t xml:space="preserve">Shall be responsible for announcing the award winners to the </w:t>
      </w:r>
      <w:r w:rsidR="00667090">
        <w:rPr>
          <w:rFonts w:ascii="Arial" w:hAnsi="Arial" w:cs="Arial"/>
        </w:rPr>
        <w:t>One Adelante</w:t>
      </w:r>
      <w:r w:rsidRPr="00E1689B">
        <w:rPr>
          <w:rFonts w:ascii="Arial" w:hAnsi="Arial" w:cs="Arial"/>
        </w:rPr>
        <w:t xml:space="preserve"> membership  </w:t>
      </w:r>
    </w:p>
    <w:p w:rsidR="007F1D22" w:rsidRDefault="007F1D22" w:rsidP="001F6922">
      <w:pPr>
        <w:numPr>
          <w:ilvl w:val="0"/>
          <w:numId w:val="23"/>
        </w:numPr>
        <w:rPr>
          <w:rFonts w:ascii="Arial" w:hAnsi="Arial" w:cs="Arial"/>
        </w:rPr>
      </w:pPr>
      <w:r w:rsidRPr="00E1689B">
        <w:rPr>
          <w:rFonts w:ascii="Arial" w:hAnsi="Arial" w:cs="Arial"/>
        </w:rPr>
        <w:t xml:space="preserve">Shall ensure the winners are announced on the </w:t>
      </w:r>
      <w:r w:rsidR="00667090">
        <w:rPr>
          <w:rFonts w:ascii="Arial" w:hAnsi="Arial" w:cs="Arial"/>
        </w:rPr>
        <w:t>One Adelante</w:t>
      </w:r>
      <w:r w:rsidRPr="00E1689B">
        <w:rPr>
          <w:rFonts w:ascii="Arial" w:hAnsi="Arial" w:cs="Arial"/>
        </w:rPr>
        <w:t xml:space="preserve"> Website and on the corporate page</w:t>
      </w:r>
    </w:p>
    <w:p w:rsidR="00112824" w:rsidRPr="00E1689B" w:rsidRDefault="00112824" w:rsidP="001F6922">
      <w:pPr>
        <w:numPr>
          <w:ilvl w:val="0"/>
          <w:numId w:val="23"/>
        </w:numPr>
        <w:rPr>
          <w:rFonts w:ascii="Arial" w:hAnsi="Arial" w:cs="Arial"/>
        </w:rPr>
      </w:pPr>
      <w:r>
        <w:rPr>
          <w:rFonts w:ascii="Arial" w:hAnsi="Arial" w:cs="Arial"/>
        </w:rPr>
        <w:t>Shall develop and maintain process for corporate-wide Hispanic Excellence Awards</w:t>
      </w:r>
    </w:p>
    <w:p w:rsidR="007F1D22" w:rsidRDefault="007F1D22" w:rsidP="007F1D22">
      <w:pPr>
        <w:ind w:left="720"/>
        <w:rPr>
          <w:rFonts w:ascii="Arial" w:hAnsi="Arial" w:cs="Arial"/>
          <w:b/>
        </w:rPr>
      </w:pPr>
    </w:p>
    <w:p w:rsidR="00E05966" w:rsidRDefault="00E05966" w:rsidP="00E416A1">
      <w:pPr>
        <w:rPr>
          <w:rFonts w:ascii="Arial" w:hAnsi="Arial" w:cs="Arial"/>
          <w:b/>
        </w:rPr>
      </w:pPr>
      <w:r w:rsidRPr="00E05966">
        <w:rPr>
          <w:rFonts w:ascii="Arial" w:hAnsi="Arial" w:cs="Arial"/>
          <w:b/>
        </w:rPr>
        <w:t>Communications:</w:t>
      </w:r>
    </w:p>
    <w:p w:rsidR="007F1D22" w:rsidRPr="007F1D22" w:rsidRDefault="007F1D22" w:rsidP="001F6922">
      <w:pPr>
        <w:numPr>
          <w:ilvl w:val="0"/>
          <w:numId w:val="24"/>
        </w:numPr>
        <w:rPr>
          <w:rFonts w:ascii="Arial" w:hAnsi="Arial" w:cs="Arial"/>
        </w:rPr>
      </w:pPr>
      <w:r w:rsidRPr="007F1D22">
        <w:rPr>
          <w:rFonts w:ascii="Arial" w:hAnsi="Arial" w:cs="Arial"/>
        </w:rPr>
        <w:t xml:space="preserve">Shall participate in all </w:t>
      </w:r>
      <w:r w:rsidR="00667090">
        <w:rPr>
          <w:rFonts w:ascii="Arial" w:hAnsi="Arial" w:cs="Arial"/>
        </w:rPr>
        <w:t>One Adelante</w:t>
      </w:r>
      <w:r w:rsidRPr="007F1D22">
        <w:rPr>
          <w:rFonts w:ascii="Arial" w:hAnsi="Arial" w:cs="Arial"/>
        </w:rPr>
        <w:t xml:space="preserve"> meetings</w:t>
      </w:r>
      <w:r w:rsidR="00BB41DF">
        <w:rPr>
          <w:rFonts w:ascii="Arial" w:hAnsi="Arial" w:cs="Arial"/>
        </w:rPr>
        <w:t>.</w:t>
      </w:r>
    </w:p>
    <w:p w:rsidR="007F1D22" w:rsidRPr="007F1D22" w:rsidRDefault="007F1D22" w:rsidP="001F6922">
      <w:pPr>
        <w:numPr>
          <w:ilvl w:val="0"/>
          <w:numId w:val="24"/>
        </w:numPr>
        <w:rPr>
          <w:rFonts w:ascii="Arial" w:hAnsi="Arial" w:cs="Arial"/>
        </w:rPr>
      </w:pPr>
      <w:r w:rsidRPr="007F1D22">
        <w:rPr>
          <w:rFonts w:ascii="Arial" w:hAnsi="Arial" w:cs="Arial"/>
        </w:rPr>
        <w:t xml:space="preserve">Shall maintain external links to and from the designated </w:t>
      </w:r>
      <w:r w:rsidR="00667090">
        <w:rPr>
          <w:rFonts w:ascii="Arial" w:hAnsi="Arial" w:cs="Arial"/>
        </w:rPr>
        <w:t xml:space="preserve">One </w:t>
      </w:r>
      <w:bookmarkStart w:id="15" w:name="OLE_LINK1"/>
      <w:bookmarkStart w:id="16" w:name="OLE_LINK2"/>
      <w:r w:rsidR="00667090">
        <w:rPr>
          <w:rFonts w:ascii="Arial" w:hAnsi="Arial" w:cs="Arial"/>
        </w:rPr>
        <w:t>Adelante</w:t>
      </w:r>
      <w:r w:rsidRPr="007F1D22">
        <w:rPr>
          <w:rFonts w:ascii="Arial" w:hAnsi="Arial" w:cs="Arial"/>
        </w:rPr>
        <w:t xml:space="preserve"> </w:t>
      </w:r>
      <w:bookmarkEnd w:id="15"/>
      <w:bookmarkEnd w:id="16"/>
      <w:r w:rsidRPr="007F1D22">
        <w:rPr>
          <w:rFonts w:ascii="Arial" w:hAnsi="Arial" w:cs="Arial"/>
        </w:rPr>
        <w:t>website</w:t>
      </w:r>
      <w:r w:rsidR="00BB41DF">
        <w:rPr>
          <w:rFonts w:ascii="Arial" w:hAnsi="Arial" w:cs="Arial"/>
        </w:rPr>
        <w:t>.</w:t>
      </w:r>
      <w:r w:rsidRPr="007F1D22">
        <w:rPr>
          <w:rFonts w:ascii="Arial" w:hAnsi="Arial" w:cs="Arial"/>
        </w:rPr>
        <w:t xml:space="preserve"> </w:t>
      </w:r>
      <w:r w:rsidR="00534DB4" w:rsidRPr="007F1D22">
        <w:rPr>
          <w:rFonts w:ascii="Arial" w:hAnsi="Arial" w:cs="Arial"/>
        </w:rPr>
        <w:t>Including</w:t>
      </w:r>
      <w:r w:rsidRPr="007F1D22">
        <w:rPr>
          <w:rFonts w:ascii="Arial" w:hAnsi="Arial" w:cs="Arial"/>
        </w:rPr>
        <w:t xml:space="preserve"> the Diversity Initiatives website and the sector </w:t>
      </w:r>
      <w:r w:rsidR="00C21D8B">
        <w:rPr>
          <w:rFonts w:ascii="Arial" w:hAnsi="Arial" w:cs="Arial"/>
        </w:rPr>
        <w:t>Adelante</w:t>
      </w:r>
      <w:r w:rsidR="00534DB4">
        <w:rPr>
          <w:rFonts w:ascii="Arial" w:hAnsi="Arial" w:cs="Arial"/>
        </w:rPr>
        <w:t xml:space="preserve">’s </w:t>
      </w:r>
      <w:r w:rsidRPr="007F1D22">
        <w:rPr>
          <w:rFonts w:ascii="Arial" w:hAnsi="Arial" w:cs="Arial"/>
        </w:rPr>
        <w:t>websites</w:t>
      </w:r>
      <w:r w:rsidR="00BB41DF">
        <w:rPr>
          <w:rFonts w:ascii="Arial" w:hAnsi="Arial" w:cs="Arial"/>
        </w:rPr>
        <w:t>.</w:t>
      </w:r>
    </w:p>
    <w:p w:rsidR="007F1D22" w:rsidRPr="007F1D22" w:rsidRDefault="007F1D22" w:rsidP="001F6922">
      <w:pPr>
        <w:numPr>
          <w:ilvl w:val="0"/>
          <w:numId w:val="24"/>
        </w:numPr>
        <w:rPr>
          <w:rFonts w:ascii="Arial" w:hAnsi="Arial" w:cs="Arial"/>
        </w:rPr>
      </w:pPr>
      <w:r w:rsidRPr="007F1D22">
        <w:rPr>
          <w:rFonts w:ascii="Arial" w:hAnsi="Arial" w:cs="Arial"/>
        </w:rPr>
        <w:t>Shall develop, implement, assess effectiveness and maintain communications resources (web site, newsletter, press releases)</w:t>
      </w:r>
      <w:r w:rsidR="00BB41DF">
        <w:rPr>
          <w:rFonts w:ascii="Arial" w:hAnsi="Arial" w:cs="Arial"/>
        </w:rPr>
        <w:t>.</w:t>
      </w:r>
    </w:p>
    <w:p w:rsidR="007F1D22" w:rsidRPr="007F1D22" w:rsidRDefault="007F1D22" w:rsidP="001F6922">
      <w:pPr>
        <w:numPr>
          <w:ilvl w:val="0"/>
          <w:numId w:val="24"/>
        </w:numPr>
        <w:rPr>
          <w:rFonts w:ascii="Arial" w:hAnsi="Arial" w:cs="Arial"/>
        </w:rPr>
      </w:pPr>
      <w:r w:rsidRPr="007F1D22">
        <w:rPr>
          <w:rFonts w:ascii="Arial" w:hAnsi="Arial" w:cs="Arial"/>
        </w:rPr>
        <w:t>Shall coordinate with all sector communications portals (FYI, Circuit, Intranet Central, electronic sign boards, etc.)</w:t>
      </w:r>
      <w:r w:rsidR="00BB41DF">
        <w:rPr>
          <w:rFonts w:ascii="Arial" w:hAnsi="Arial" w:cs="Arial"/>
        </w:rPr>
        <w:t>.</w:t>
      </w:r>
    </w:p>
    <w:p w:rsidR="007F1D22" w:rsidRDefault="007F1D22" w:rsidP="001F6922">
      <w:pPr>
        <w:numPr>
          <w:ilvl w:val="0"/>
          <w:numId w:val="24"/>
        </w:numPr>
        <w:rPr>
          <w:rFonts w:ascii="Arial" w:hAnsi="Arial" w:cs="Arial"/>
        </w:rPr>
      </w:pPr>
      <w:r w:rsidRPr="007F1D22">
        <w:rPr>
          <w:rFonts w:ascii="Arial" w:hAnsi="Arial" w:cs="Arial"/>
        </w:rPr>
        <w:t xml:space="preserve">Shall identify and coordinate with </w:t>
      </w:r>
      <w:r w:rsidR="00524909">
        <w:rPr>
          <w:rFonts w:ascii="Arial" w:hAnsi="Arial" w:cs="Arial"/>
        </w:rPr>
        <w:t>Communication chairs</w:t>
      </w:r>
      <w:r w:rsidRPr="007F1D22">
        <w:rPr>
          <w:rFonts w:ascii="Arial" w:hAnsi="Arial" w:cs="Arial"/>
        </w:rPr>
        <w:t xml:space="preserve"> from different sectors</w:t>
      </w:r>
      <w:r w:rsidR="00BB41DF">
        <w:rPr>
          <w:rFonts w:ascii="Arial" w:hAnsi="Arial" w:cs="Arial"/>
        </w:rPr>
        <w:t>.</w:t>
      </w:r>
    </w:p>
    <w:p w:rsidR="007F1D22" w:rsidRDefault="007F1D22" w:rsidP="001F6922">
      <w:pPr>
        <w:numPr>
          <w:ilvl w:val="0"/>
          <w:numId w:val="24"/>
        </w:numPr>
        <w:rPr>
          <w:rFonts w:ascii="Arial" w:hAnsi="Arial" w:cs="Arial"/>
        </w:rPr>
      </w:pPr>
      <w:r>
        <w:rPr>
          <w:rFonts w:ascii="Arial" w:hAnsi="Arial" w:cs="Arial"/>
        </w:rPr>
        <w:t xml:space="preserve">Shall maintain a list of the points of contacts for the </w:t>
      </w:r>
      <w:r w:rsidR="000E332A">
        <w:rPr>
          <w:rFonts w:ascii="Arial" w:hAnsi="Arial" w:cs="Arial"/>
        </w:rPr>
        <w:t>Northrop Grumman</w:t>
      </w:r>
      <w:r w:rsidR="00BB41DF">
        <w:rPr>
          <w:rFonts w:ascii="Arial" w:hAnsi="Arial" w:cs="Arial"/>
        </w:rPr>
        <w:t>.</w:t>
      </w:r>
      <w:r w:rsidR="000E332A">
        <w:rPr>
          <w:rFonts w:ascii="Arial" w:hAnsi="Arial" w:cs="Arial"/>
        </w:rPr>
        <w:t xml:space="preserve"> </w:t>
      </w:r>
      <w:r w:rsidR="00534DB4">
        <w:rPr>
          <w:rFonts w:ascii="Arial" w:hAnsi="Arial" w:cs="Arial"/>
        </w:rPr>
        <w:t>Communications</w:t>
      </w:r>
      <w:r>
        <w:rPr>
          <w:rFonts w:ascii="Arial" w:hAnsi="Arial" w:cs="Arial"/>
        </w:rPr>
        <w:t xml:space="preserve"> group from each sector</w:t>
      </w:r>
      <w:r w:rsidR="00BB41DF">
        <w:rPr>
          <w:rFonts w:ascii="Arial" w:hAnsi="Arial" w:cs="Arial"/>
        </w:rPr>
        <w:t>.</w:t>
      </w:r>
    </w:p>
    <w:p w:rsidR="00E1689B" w:rsidRPr="00D02F8E" w:rsidRDefault="00E1689B" w:rsidP="001F6922">
      <w:pPr>
        <w:numPr>
          <w:ilvl w:val="0"/>
          <w:numId w:val="24"/>
        </w:numPr>
        <w:rPr>
          <w:rFonts w:ascii="Arial" w:hAnsi="Arial" w:cs="Arial"/>
        </w:rPr>
      </w:pPr>
      <w:r w:rsidRPr="00D02F8E">
        <w:rPr>
          <w:rFonts w:ascii="Arial" w:hAnsi="Arial" w:cs="Arial"/>
        </w:rPr>
        <w:t>Coordination with Corporate and Sector Communications for information release</w:t>
      </w:r>
      <w:r w:rsidR="00BB41DF">
        <w:rPr>
          <w:rFonts w:ascii="Arial" w:hAnsi="Arial" w:cs="Arial"/>
        </w:rPr>
        <w:t>.</w:t>
      </w:r>
    </w:p>
    <w:p w:rsidR="00AC36F1" w:rsidRPr="00F10FCC" w:rsidRDefault="00AC36F1" w:rsidP="001F6922">
      <w:pPr>
        <w:numPr>
          <w:ilvl w:val="0"/>
          <w:numId w:val="24"/>
        </w:numPr>
        <w:rPr>
          <w:rFonts w:ascii="Arial" w:hAnsi="Arial" w:cs="Arial"/>
        </w:rPr>
      </w:pPr>
      <w:r w:rsidRPr="00F10FCC">
        <w:rPr>
          <w:rFonts w:ascii="Arial" w:hAnsi="Arial" w:cs="Arial"/>
        </w:rPr>
        <w:t xml:space="preserve">Shall ensure </w:t>
      </w:r>
      <w:r w:rsidR="00BB41DF">
        <w:rPr>
          <w:rFonts w:ascii="Arial" w:hAnsi="Arial" w:cs="Arial"/>
        </w:rPr>
        <w:t xml:space="preserve">all </w:t>
      </w:r>
      <w:r w:rsidRPr="00F10FCC">
        <w:rPr>
          <w:rFonts w:ascii="Arial" w:hAnsi="Arial" w:cs="Arial"/>
        </w:rPr>
        <w:t xml:space="preserve">events are posted regularly on the </w:t>
      </w:r>
      <w:r w:rsidR="00667090">
        <w:rPr>
          <w:rFonts w:ascii="Arial" w:hAnsi="Arial" w:cs="Arial"/>
        </w:rPr>
        <w:t>One Adelante</w:t>
      </w:r>
      <w:r w:rsidRPr="00F10FCC">
        <w:rPr>
          <w:rFonts w:ascii="Arial" w:hAnsi="Arial" w:cs="Arial"/>
        </w:rPr>
        <w:t xml:space="preserve"> Website</w:t>
      </w:r>
      <w:r w:rsidR="00BB41DF">
        <w:rPr>
          <w:rFonts w:ascii="Arial" w:hAnsi="Arial" w:cs="Arial"/>
        </w:rPr>
        <w:t xml:space="preserve">, </w:t>
      </w:r>
      <w:r w:rsidRPr="00F10FCC">
        <w:rPr>
          <w:rFonts w:ascii="Arial" w:hAnsi="Arial" w:cs="Arial"/>
        </w:rPr>
        <w:t>once it has been established</w:t>
      </w:r>
      <w:r w:rsidR="00BB41DF">
        <w:rPr>
          <w:rFonts w:ascii="Arial" w:hAnsi="Arial" w:cs="Arial"/>
        </w:rPr>
        <w:t>.</w:t>
      </w:r>
      <w:r w:rsidRPr="00F10FCC">
        <w:rPr>
          <w:rFonts w:ascii="Arial" w:hAnsi="Arial" w:cs="Arial"/>
        </w:rPr>
        <w:t xml:space="preserve"> </w:t>
      </w:r>
    </w:p>
    <w:p w:rsidR="00AC36F1" w:rsidRPr="00E1689B" w:rsidRDefault="00AC36F1" w:rsidP="00AC36F1">
      <w:pPr>
        <w:ind w:left="720"/>
        <w:rPr>
          <w:rFonts w:ascii="Arial" w:hAnsi="Arial" w:cs="Arial"/>
          <w:color w:val="FF0000"/>
        </w:rPr>
      </w:pPr>
    </w:p>
    <w:p w:rsidR="007F1D22" w:rsidRDefault="007F1D22" w:rsidP="007F1D22">
      <w:pPr>
        <w:ind w:left="720"/>
        <w:rPr>
          <w:rFonts w:ascii="Arial" w:hAnsi="Arial" w:cs="Arial"/>
          <w:b/>
        </w:rPr>
      </w:pPr>
    </w:p>
    <w:p w:rsidR="006D4C57" w:rsidRPr="00E05966" w:rsidRDefault="006D4C57" w:rsidP="00E416A1">
      <w:pPr>
        <w:rPr>
          <w:rFonts w:ascii="Arial" w:hAnsi="Arial" w:cs="Arial"/>
          <w:b/>
        </w:rPr>
      </w:pPr>
    </w:p>
    <w:p w:rsidR="00E05966" w:rsidRDefault="00E05966" w:rsidP="00E416A1">
      <w:pPr>
        <w:rPr>
          <w:rFonts w:ascii="Arial" w:hAnsi="Arial" w:cs="Arial"/>
          <w:b/>
        </w:rPr>
      </w:pPr>
      <w:r w:rsidRPr="00E05966">
        <w:rPr>
          <w:rFonts w:ascii="Arial" w:hAnsi="Arial" w:cs="Arial"/>
          <w:b/>
        </w:rPr>
        <w:t>Strategic Planning:</w:t>
      </w:r>
    </w:p>
    <w:p w:rsidR="007F1D22" w:rsidRPr="007F1D22" w:rsidRDefault="000E332A" w:rsidP="001F6922">
      <w:pPr>
        <w:numPr>
          <w:ilvl w:val="0"/>
          <w:numId w:val="25"/>
        </w:numPr>
        <w:rPr>
          <w:rFonts w:ascii="Arial" w:hAnsi="Arial" w:cs="Arial"/>
        </w:rPr>
      </w:pPr>
      <w:r>
        <w:rPr>
          <w:rFonts w:ascii="Arial" w:hAnsi="Arial" w:cs="Arial"/>
        </w:rPr>
        <w:t xml:space="preserve">Shall participate in all </w:t>
      </w:r>
      <w:r w:rsidR="00667090">
        <w:rPr>
          <w:rFonts w:ascii="Arial" w:hAnsi="Arial" w:cs="Arial"/>
        </w:rPr>
        <w:t>One Adelante</w:t>
      </w:r>
      <w:r w:rsidR="007F1D22" w:rsidRPr="007F1D22">
        <w:rPr>
          <w:rFonts w:ascii="Arial" w:hAnsi="Arial" w:cs="Arial"/>
        </w:rPr>
        <w:t xml:space="preserve"> meetings </w:t>
      </w:r>
    </w:p>
    <w:p w:rsidR="007F1D22" w:rsidRPr="007F1D22" w:rsidRDefault="007F1D22" w:rsidP="001F6922">
      <w:pPr>
        <w:numPr>
          <w:ilvl w:val="0"/>
          <w:numId w:val="25"/>
        </w:numPr>
        <w:rPr>
          <w:rFonts w:ascii="Arial" w:hAnsi="Arial" w:cs="Arial"/>
        </w:rPr>
      </w:pPr>
      <w:r w:rsidRPr="007F1D22">
        <w:rPr>
          <w:rFonts w:ascii="Arial" w:hAnsi="Arial" w:cs="Arial"/>
        </w:rPr>
        <w:t>Shall devel</w:t>
      </w:r>
      <w:r w:rsidR="000E332A">
        <w:rPr>
          <w:rFonts w:ascii="Arial" w:hAnsi="Arial" w:cs="Arial"/>
        </w:rPr>
        <w:t xml:space="preserve">op and maintain the </w:t>
      </w:r>
      <w:r w:rsidR="00667090">
        <w:rPr>
          <w:rFonts w:ascii="Arial" w:hAnsi="Arial" w:cs="Arial"/>
        </w:rPr>
        <w:t>One Adelante</w:t>
      </w:r>
      <w:r w:rsidRPr="007F1D22">
        <w:rPr>
          <w:rFonts w:ascii="Arial" w:hAnsi="Arial" w:cs="Arial"/>
        </w:rPr>
        <w:t xml:space="preserve">  long range and operating plans</w:t>
      </w:r>
    </w:p>
    <w:p w:rsidR="007F1D22" w:rsidRPr="007F1D22" w:rsidRDefault="007F1D22" w:rsidP="001F6922">
      <w:pPr>
        <w:numPr>
          <w:ilvl w:val="0"/>
          <w:numId w:val="25"/>
        </w:numPr>
        <w:rPr>
          <w:rFonts w:ascii="Arial" w:hAnsi="Arial" w:cs="Arial"/>
        </w:rPr>
      </w:pPr>
      <w:r w:rsidRPr="007F1D22">
        <w:rPr>
          <w:rFonts w:ascii="Arial" w:hAnsi="Arial" w:cs="Arial"/>
        </w:rPr>
        <w:t>Shall develop, implement, assess effectiveness and maintain strategy</w:t>
      </w:r>
    </w:p>
    <w:p w:rsidR="007F1D22" w:rsidRPr="007F1D22" w:rsidRDefault="007F1D22" w:rsidP="001F6922">
      <w:pPr>
        <w:numPr>
          <w:ilvl w:val="0"/>
          <w:numId w:val="25"/>
        </w:numPr>
        <w:rPr>
          <w:rFonts w:ascii="Arial" w:hAnsi="Arial" w:cs="Arial"/>
        </w:rPr>
      </w:pPr>
      <w:r w:rsidRPr="007F1D22">
        <w:rPr>
          <w:rFonts w:ascii="Arial" w:hAnsi="Arial" w:cs="Arial"/>
        </w:rPr>
        <w:t xml:space="preserve">Shall prepare, coordinate, communicate and integrate strategic needs into the </w:t>
      </w:r>
      <w:r w:rsidR="00667090">
        <w:rPr>
          <w:rFonts w:ascii="Arial" w:hAnsi="Arial" w:cs="Arial"/>
        </w:rPr>
        <w:t>One Adelante</w:t>
      </w:r>
      <w:r w:rsidRPr="007F1D22">
        <w:rPr>
          <w:rFonts w:ascii="Arial" w:hAnsi="Arial" w:cs="Arial"/>
        </w:rPr>
        <w:t xml:space="preserve">  long range and annual operating plans</w:t>
      </w:r>
    </w:p>
    <w:p w:rsidR="007F1D22" w:rsidRPr="007F1D22" w:rsidRDefault="007F1D22" w:rsidP="001F6922">
      <w:pPr>
        <w:numPr>
          <w:ilvl w:val="0"/>
          <w:numId w:val="25"/>
        </w:numPr>
        <w:rPr>
          <w:rFonts w:ascii="Arial" w:hAnsi="Arial" w:cs="Arial"/>
        </w:rPr>
      </w:pPr>
      <w:r w:rsidRPr="007F1D22">
        <w:rPr>
          <w:rFonts w:ascii="Arial" w:hAnsi="Arial" w:cs="Arial"/>
        </w:rPr>
        <w:t>Shall meet with all sectors to</w:t>
      </w:r>
      <w:r w:rsidR="000E332A">
        <w:rPr>
          <w:rFonts w:ascii="Arial" w:hAnsi="Arial" w:cs="Arial"/>
        </w:rPr>
        <w:t xml:space="preserve"> inform them of the </w:t>
      </w:r>
      <w:r w:rsidR="00667090">
        <w:rPr>
          <w:rFonts w:ascii="Arial" w:hAnsi="Arial" w:cs="Arial"/>
        </w:rPr>
        <w:t>One Adelante</w:t>
      </w:r>
      <w:r w:rsidRPr="007F1D22">
        <w:rPr>
          <w:rFonts w:ascii="Arial" w:hAnsi="Arial" w:cs="Arial"/>
        </w:rPr>
        <w:t xml:space="preserve"> goals </w:t>
      </w:r>
    </w:p>
    <w:p w:rsidR="00C128C5" w:rsidRDefault="000E332A" w:rsidP="001F6922">
      <w:pPr>
        <w:numPr>
          <w:ilvl w:val="0"/>
          <w:numId w:val="25"/>
        </w:numPr>
        <w:rPr>
          <w:rFonts w:ascii="Arial" w:hAnsi="Arial" w:cs="Arial"/>
        </w:rPr>
      </w:pPr>
      <w:r w:rsidRPr="000E332A">
        <w:rPr>
          <w:rFonts w:ascii="Arial" w:hAnsi="Arial" w:cs="Arial"/>
        </w:rPr>
        <w:t>Shall ensure all strategic plans are in concert with business objectives</w:t>
      </w:r>
    </w:p>
    <w:p w:rsidR="007F1D22" w:rsidRPr="000E332A" w:rsidRDefault="00C128C5" w:rsidP="001F6922">
      <w:pPr>
        <w:numPr>
          <w:ilvl w:val="0"/>
          <w:numId w:val="25"/>
        </w:numPr>
        <w:rPr>
          <w:rFonts w:ascii="Arial" w:hAnsi="Arial" w:cs="Arial"/>
        </w:rPr>
      </w:pPr>
      <w:r>
        <w:rPr>
          <w:rFonts w:ascii="Arial" w:hAnsi="Arial" w:cs="Arial"/>
        </w:rPr>
        <w:t>Shall support the development, tracking and reporting of quantitative operating metrics for each Sector and the One Adelante organization as a whole</w:t>
      </w:r>
    </w:p>
    <w:p w:rsidR="006D4C57" w:rsidRPr="00E05966" w:rsidRDefault="006D4C57" w:rsidP="00E416A1">
      <w:pPr>
        <w:rPr>
          <w:rFonts w:ascii="Arial" w:hAnsi="Arial" w:cs="Arial"/>
          <w:b/>
        </w:rPr>
      </w:pPr>
    </w:p>
    <w:p w:rsidR="00E05966" w:rsidRDefault="00E05966" w:rsidP="00E416A1">
      <w:pPr>
        <w:rPr>
          <w:rFonts w:ascii="Arial" w:hAnsi="Arial" w:cs="Arial"/>
        </w:rPr>
      </w:pPr>
    </w:p>
    <w:p w:rsidR="00E05966" w:rsidRPr="006D4C57" w:rsidRDefault="00E05966" w:rsidP="00E416A1">
      <w:pPr>
        <w:rPr>
          <w:rFonts w:ascii="Arial" w:hAnsi="Arial" w:cs="Arial"/>
          <w:b/>
          <w:u w:val="single"/>
        </w:rPr>
      </w:pPr>
      <w:r w:rsidRPr="006D4C57">
        <w:rPr>
          <w:rFonts w:ascii="Arial" w:hAnsi="Arial" w:cs="Arial"/>
          <w:b/>
          <w:u w:val="single"/>
        </w:rPr>
        <w:t>Enterprise Advisors:</w:t>
      </w:r>
    </w:p>
    <w:p w:rsidR="00E05966" w:rsidRDefault="00E05966" w:rsidP="00E416A1">
      <w:pPr>
        <w:rPr>
          <w:rFonts w:ascii="Arial" w:hAnsi="Arial" w:cs="Arial"/>
        </w:rPr>
      </w:pPr>
    </w:p>
    <w:p w:rsidR="003D4FE9" w:rsidRPr="000B765C" w:rsidRDefault="003D4FE9" w:rsidP="001F6922">
      <w:pPr>
        <w:numPr>
          <w:ilvl w:val="0"/>
          <w:numId w:val="17"/>
        </w:numPr>
        <w:rPr>
          <w:rFonts w:ascii="Arial" w:hAnsi="Arial" w:cs="Arial"/>
          <w:b/>
        </w:rPr>
      </w:pPr>
      <w:r w:rsidRPr="000B765C">
        <w:rPr>
          <w:rFonts w:ascii="Arial" w:hAnsi="Arial" w:cs="Arial"/>
          <w:b/>
        </w:rPr>
        <w:t>Enterprise Sponsor</w:t>
      </w:r>
    </w:p>
    <w:p w:rsidR="003D4FE9" w:rsidRDefault="003D4FE9" w:rsidP="001F6922">
      <w:pPr>
        <w:numPr>
          <w:ilvl w:val="1"/>
          <w:numId w:val="17"/>
        </w:numPr>
        <w:rPr>
          <w:rFonts w:ascii="Arial" w:hAnsi="Arial" w:cs="Arial"/>
        </w:rPr>
      </w:pPr>
      <w:r>
        <w:rPr>
          <w:rFonts w:ascii="Arial" w:hAnsi="Arial" w:cs="Arial"/>
        </w:rPr>
        <w:t>P</w:t>
      </w:r>
      <w:r w:rsidRPr="00811D96">
        <w:rPr>
          <w:rFonts w:ascii="Arial" w:hAnsi="Arial" w:cs="Arial"/>
        </w:rPr>
        <w:t>rovide</w:t>
      </w:r>
      <w:r>
        <w:rPr>
          <w:rFonts w:ascii="Arial" w:hAnsi="Arial" w:cs="Arial"/>
        </w:rPr>
        <w:t>s</w:t>
      </w:r>
      <w:r w:rsidRPr="00811D96">
        <w:rPr>
          <w:rFonts w:ascii="Arial" w:hAnsi="Arial" w:cs="Arial"/>
        </w:rPr>
        <w:t xml:space="preserve"> senior level support including m</w:t>
      </w:r>
      <w:r w:rsidR="00667090">
        <w:rPr>
          <w:rFonts w:ascii="Arial" w:hAnsi="Arial" w:cs="Arial"/>
        </w:rPr>
        <w:t>one</w:t>
      </w:r>
      <w:r w:rsidRPr="00811D96">
        <w:rPr>
          <w:rFonts w:ascii="Arial" w:hAnsi="Arial" w:cs="Arial"/>
        </w:rPr>
        <w:t xml:space="preserve">tary support </w:t>
      </w:r>
    </w:p>
    <w:p w:rsidR="003D4FE9" w:rsidRDefault="003D4FE9" w:rsidP="001F6922">
      <w:pPr>
        <w:numPr>
          <w:ilvl w:val="1"/>
          <w:numId w:val="17"/>
        </w:numPr>
        <w:rPr>
          <w:rFonts w:ascii="Arial" w:hAnsi="Arial" w:cs="Arial"/>
        </w:rPr>
      </w:pPr>
      <w:r>
        <w:rPr>
          <w:rFonts w:ascii="Arial" w:hAnsi="Arial" w:cs="Arial"/>
        </w:rPr>
        <w:t>Provides</w:t>
      </w:r>
      <w:r w:rsidRPr="00811D96">
        <w:rPr>
          <w:rFonts w:ascii="Arial" w:hAnsi="Arial" w:cs="Arial"/>
        </w:rPr>
        <w:t xml:space="preserve"> insight into how </w:t>
      </w:r>
      <w:r>
        <w:rPr>
          <w:rFonts w:ascii="Arial" w:hAnsi="Arial" w:cs="Arial"/>
        </w:rPr>
        <w:t xml:space="preserve">the </w:t>
      </w:r>
      <w:r w:rsidR="00667090">
        <w:rPr>
          <w:rFonts w:ascii="Arial" w:hAnsi="Arial" w:cs="Arial"/>
        </w:rPr>
        <w:t>One Adelante</w:t>
      </w:r>
      <w:r w:rsidRPr="00811D96">
        <w:rPr>
          <w:rFonts w:ascii="Arial" w:hAnsi="Arial" w:cs="Arial"/>
        </w:rPr>
        <w:t xml:space="preserve"> strategy can align with company initiatives.  </w:t>
      </w:r>
    </w:p>
    <w:p w:rsidR="003D4FE9" w:rsidRDefault="003D4FE9" w:rsidP="001F6922">
      <w:pPr>
        <w:numPr>
          <w:ilvl w:val="1"/>
          <w:numId w:val="17"/>
        </w:numPr>
        <w:rPr>
          <w:rFonts w:ascii="Arial" w:hAnsi="Arial" w:cs="Arial"/>
        </w:rPr>
      </w:pPr>
      <w:r>
        <w:rPr>
          <w:rFonts w:ascii="Arial" w:hAnsi="Arial" w:cs="Arial"/>
        </w:rPr>
        <w:t xml:space="preserve">The Enterprise Board will partner with the </w:t>
      </w:r>
      <w:r w:rsidR="00BD245C">
        <w:rPr>
          <w:rFonts w:ascii="Arial" w:hAnsi="Arial" w:cs="Arial"/>
        </w:rPr>
        <w:t>C</w:t>
      </w:r>
      <w:r>
        <w:rPr>
          <w:rFonts w:ascii="Arial" w:hAnsi="Arial" w:cs="Arial"/>
        </w:rPr>
        <w:t xml:space="preserve">orporate </w:t>
      </w:r>
      <w:r w:rsidR="00BD245C">
        <w:rPr>
          <w:rFonts w:ascii="Arial" w:hAnsi="Arial" w:cs="Arial"/>
        </w:rPr>
        <w:t>D</w:t>
      </w:r>
      <w:r>
        <w:rPr>
          <w:rFonts w:ascii="Arial" w:hAnsi="Arial" w:cs="Arial"/>
        </w:rPr>
        <w:t xml:space="preserve">iversity </w:t>
      </w:r>
      <w:r w:rsidR="00BD245C">
        <w:rPr>
          <w:rFonts w:ascii="Arial" w:hAnsi="Arial" w:cs="Arial"/>
        </w:rPr>
        <w:t>C</w:t>
      </w:r>
      <w:r>
        <w:rPr>
          <w:rFonts w:ascii="Arial" w:hAnsi="Arial" w:cs="Arial"/>
        </w:rPr>
        <w:t>ouncil to select the corporate sponsors</w:t>
      </w:r>
    </w:p>
    <w:p w:rsidR="003D4FE9" w:rsidRPr="0080341E" w:rsidRDefault="003D4FE9" w:rsidP="001F6922">
      <w:pPr>
        <w:numPr>
          <w:ilvl w:val="1"/>
          <w:numId w:val="17"/>
        </w:numPr>
        <w:rPr>
          <w:rFonts w:ascii="Arial" w:hAnsi="Arial" w:cs="Arial"/>
        </w:rPr>
      </w:pPr>
      <w:r w:rsidRPr="0080341E">
        <w:rPr>
          <w:rFonts w:ascii="Arial" w:hAnsi="Arial" w:cs="Arial"/>
        </w:rPr>
        <w:t xml:space="preserve">Schedule periodic meetings with </w:t>
      </w:r>
      <w:r w:rsidR="00667090">
        <w:rPr>
          <w:rFonts w:ascii="Arial" w:hAnsi="Arial" w:cs="Arial"/>
        </w:rPr>
        <w:t>One Adelante</w:t>
      </w:r>
      <w:r w:rsidR="00734F6C">
        <w:rPr>
          <w:rFonts w:ascii="Arial" w:hAnsi="Arial" w:cs="Arial"/>
        </w:rPr>
        <w:t xml:space="preserve"> </w:t>
      </w:r>
      <w:r w:rsidRPr="0080341E">
        <w:rPr>
          <w:rFonts w:ascii="Arial" w:hAnsi="Arial" w:cs="Arial"/>
        </w:rPr>
        <w:t xml:space="preserve">Executive Board to review </w:t>
      </w:r>
      <w:r w:rsidR="00CA2BFC">
        <w:rPr>
          <w:rFonts w:ascii="Arial" w:hAnsi="Arial" w:cs="Arial"/>
        </w:rPr>
        <w:t xml:space="preserve">status of Employee Resource Group and </w:t>
      </w:r>
      <w:r w:rsidRPr="0080341E">
        <w:rPr>
          <w:rFonts w:ascii="Arial" w:hAnsi="Arial" w:cs="Arial"/>
        </w:rPr>
        <w:t>Diversity metrics</w:t>
      </w:r>
    </w:p>
    <w:p w:rsidR="003D4FE9" w:rsidRPr="0080341E" w:rsidRDefault="003D4FE9" w:rsidP="001F6922">
      <w:pPr>
        <w:numPr>
          <w:ilvl w:val="1"/>
          <w:numId w:val="17"/>
        </w:numPr>
        <w:rPr>
          <w:rFonts w:ascii="Arial" w:hAnsi="Arial" w:cs="Arial"/>
        </w:rPr>
      </w:pPr>
      <w:r w:rsidRPr="0080341E">
        <w:rPr>
          <w:rFonts w:ascii="Arial" w:hAnsi="Arial" w:cs="Arial"/>
        </w:rPr>
        <w:t>Encourage</w:t>
      </w:r>
      <w:r>
        <w:rPr>
          <w:rFonts w:ascii="Arial" w:hAnsi="Arial" w:cs="Arial"/>
        </w:rPr>
        <w:t>s</w:t>
      </w:r>
      <w:r w:rsidRPr="0080341E">
        <w:rPr>
          <w:rFonts w:ascii="Arial" w:hAnsi="Arial" w:cs="Arial"/>
        </w:rPr>
        <w:t xml:space="preserve"> Executive participation in </w:t>
      </w:r>
      <w:r w:rsidR="00667090">
        <w:rPr>
          <w:rFonts w:ascii="Arial" w:hAnsi="Arial" w:cs="Arial"/>
        </w:rPr>
        <w:t>One Adelante</w:t>
      </w:r>
      <w:r w:rsidR="00734F6C">
        <w:rPr>
          <w:rFonts w:ascii="Arial" w:hAnsi="Arial" w:cs="Arial"/>
        </w:rPr>
        <w:t xml:space="preserve"> </w:t>
      </w:r>
      <w:r w:rsidRPr="0080341E">
        <w:rPr>
          <w:rFonts w:ascii="Arial" w:hAnsi="Arial" w:cs="Arial"/>
        </w:rPr>
        <w:t>and Diversity events</w:t>
      </w:r>
    </w:p>
    <w:p w:rsidR="003D4FE9" w:rsidRPr="0080341E" w:rsidRDefault="003D4FE9" w:rsidP="001F6922">
      <w:pPr>
        <w:numPr>
          <w:ilvl w:val="1"/>
          <w:numId w:val="17"/>
        </w:numPr>
        <w:rPr>
          <w:rFonts w:ascii="Arial" w:hAnsi="Arial" w:cs="Arial"/>
        </w:rPr>
      </w:pPr>
      <w:r w:rsidRPr="0080341E">
        <w:rPr>
          <w:rFonts w:ascii="Arial" w:hAnsi="Arial" w:cs="Arial"/>
        </w:rPr>
        <w:t xml:space="preserve">Increase social interaction between executives and </w:t>
      </w:r>
      <w:r w:rsidR="00667090">
        <w:rPr>
          <w:rFonts w:ascii="Arial" w:hAnsi="Arial" w:cs="Arial"/>
        </w:rPr>
        <w:t>One Adelante</w:t>
      </w:r>
      <w:r w:rsidR="00734F6C">
        <w:rPr>
          <w:rFonts w:ascii="Arial" w:hAnsi="Arial" w:cs="Arial"/>
        </w:rPr>
        <w:t xml:space="preserve"> </w:t>
      </w:r>
      <w:r w:rsidRPr="0080341E">
        <w:rPr>
          <w:rFonts w:ascii="Arial" w:hAnsi="Arial" w:cs="Arial"/>
        </w:rPr>
        <w:t>members</w:t>
      </w:r>
    </w:p>
    <w:p w:rsidR="003D4FE9" w:rsidRPr="0080341E" w:rsidRDefault="003D4FE9" w:rsidP="001F6922">
      <w:pPr>
        <w:numPr>
          <w:ilvl w:val="1"/>
          <w:numId w:val="17"/>
        </w:numPr>
        <w:rPr>
          <w:rFonts w:ascii="Arial" w:hAnsi="Arial" w:cs="Arial"/>
        </w:rPr>
      </w:pPr>
      <w:r w:rsidRPr="0080341E">
        <w:rPr>
          <w:rFonts w:ascii="Arial" w:hAnsi="Arial" w:cs="Arial"/>
        </w:rPr>
        <w:t xml:space="preserve">Solicit </w:t>
      </w:r>
      <w:r w:rsidR="00667090">
        <w:rPr>
          <w:rFonts w:ascii="Arial" w:hAnsi="Arial" w:cs="Arial"/>
        </w:rPr>
        <w:t>One Adelante</w:t>
      </w:r>
      <w:r w:rsidR="00734F6C">
        <w:rPr>
          <w:rFonts w:ascii="Arial" w:hAnsi="Arial" w:cs="Arial"/>
        </w:rPr>
        <w:t xml:space="preserve"> </w:t>
      </w:r>
      <w:r w:rsidRPr="0080341E">
        <w:rPr>
          <w:rFonts w:ascii="Arial" w:hAnsi="Arial" w:cs="Arial"/>
        </w:rPr>
        <w:t>inputs on policy initiatives</w:t>
      </w:r>
    </w:p>
    <w:p w:rsidR="003D4FE9" w:rsidRDefault="003D4FE9" w:rsidP="003D4FE9">
      <w:pPr>
        <w:ind w:left="720"/>
        <w:rPr>
          <w:rFonts w:ascii="Arial" w:hAnsi="Arial" w:cs="Arial"/>
        </w:rPr>
      </w:pPr>
    </w:p>
    <w:p w:rsidR="00E05966" w:rsidRPr="000B765C" w:rsidRDefault="00E05966" w:rsidP="001F6922">
      <w:pPr>
        <w:numPr>
          <w:ilvl w:val="0"/>
          <w:numId w:val="17"/>
        </w:numPr>
        <w:rPr>
          <w:rFonts w:ascii="Arial" w:hAnsi="Arial" w:cs="Arial"/>
          <w:b/>
        </w:rPr>
      </w:pPr>
      <w:r w:rsidRPr="000B765C">
        <w:rPr>
          <w:rFonts w:ascii="Arial" w:hAnsi="Arial" w:cs="Arial"/>
          <w:b/>
        </w:rPr>
        <w:t>Talent Management</w:t>
      </w:r>
    </w:p>
    <w:p w:rsidR="003D4FE9" w:rsidRPr="00F96C7B" w:rsidRDefault="003D4FE9" w:rsidP="001F6922">
      <w:pPr>
        <w:numPr>
          <w:ilvl w:val="1"/>
          <w:numId w:val="17"/>
        </w:numPr>
        <w:tabs>
          <w:tab w:val="num" w:pos="1440"/>
        </w:tabs>
        <w:rPr>
          <w:rFonts w:ascii="Arial" w:hAnsi="Arial" w:cs="Arial"/>
        </w:rPr>
      </w:pPr>
      <w:r w:rsidRPr="00F96C7B">
        <w:rPr>
          <w:rFonts w:ascii="Arial" w:hAnsi="Arial" w:cs="Arial"/>
        </w:rPr>
        <w:t xml:space="preserve">Shall serve as </w:t>
      </w:r>
      <w:r w:rsidR="00D02F8E" w:rsidRPr="00F96C7B">
        <w:rPr>
          <w:rFonts w:ascii="Arial" w:hAnsi="Arial" w:cs="Arial"/>
        </w:rPr>
        <w:t>liaison</w:t>
      </w:r>
      <w:r w:rsidRPr="00F96C7B">
        <w:rPr>
          <w:rFonts w:ascii="Arial" w:hAnsi="Arial" w:cs="Arial"/>
        </w:rPr>
        <w:t xml:space="preserve"> between </w:t>
      </w:r>
      <w:r w:rsidR="00667090">
        <w:rPr>
          <w:rFonts w:ascii="Arial" w:hAnsi="Arial" w:cs="Arial"/>
        </w:rPr>
        <w:t>One Adelante</w:t>
      </w:r>
      <w:r w:rsidRPr="00F96C7B">
        <w:rPr>
          <w:rFonts w:ascii="Arial" w:hAnsi="Arial" w:cs="Arial"/>
        </w:rPr>
        <w:t xml:space="preserve"> and the communities supported by the </w:t>
      </w:r>
      <w:r w:rsidR="00667090">
        <w:rPr>
          <w:rFonts w:ascii="Arial" w:hAnsi="Arial" w:cs="Arial"/>
        </w:rPr>
        <w:t>One Adelante</w:t>
      </w:r>
      <w:r w:rsidRPr="00F96C7B">
        <w:rPr>
          <w:rFonts w:ascii="Arial" w:hAnsi="Arial" w:cs="Arial"/>
        </w:rPr>
        <w:t xml:space="preserve"> team</w:t>
      </w:r>
    </w:p>
    <w:p w:rsidR="003D4FE9" w:rsidRPr="00F96C7B" w:rsidRDefault="003D4FE9" w:rsidP="001F6922">
      <w:pPr>
        <w:numPr>
          <w:ilvl w:val="1"/>
          <w:numId w:val="17"/>
        </w:numPr>
        <w:tabs>
          <w:tab w:val="num" w:pos="1440"/>
        </w:tabs>
        <w:rPr>
          <w:rFonts w:ascii="Arial" w:hAnsi="Arial" w:cs="Arial"/>
        </w:rPr>
      </w:pPr>
      <w:r w:rsidRPr="00F96C7B">
        <w:rPr>
          <w:rFonts w:ascii="Arial" w:hAnsi="Arial" w:cs="Arial"/>
        </w:rPr>
        <w:t>Shall provide guidance on future programs to be supported by the NG</w:t>
      </w:r>
      <w:r w:rsidR="00DC7CF6">
        <w:rPr>
          <w:rFonts w:ascii="Arial" w:hAnsi="Arial" w:cs="Arial"/>
        </w:rPr>
        <w:t xml:space="preserve"> where One Adelante should participate</w:t>
      </w:r>
    </w:p>
    <w:p w:rsidR="003D4FE9" w:rsidRDefault="003D4FE9" w:rsidP="001F6922">
      <w:pPr>
        <w:numPr>
          <w:ilvl w:val="1"/>
          <w:numId w:val="17"/>
        </w:numPr>
        <w:rPr>
          <w:rFonts w:ascii="Arial" w:hAnsi="Arial" w:cs="Arial"/>
        </w:rPr>
      </w:pPr>
      <w:r w:rsidRPr="00F96C7B">
        <w:rPr>
          <w:rFonts w:ascii="Arial" w:hAnsi="Arial" w:cs="Arial"/>
        </w:rPr>
        <w:t xml:space="preserve">Shall include the </w:t>
      </w:r>
      <w:r w:rsidR="00667090">
        <w:rPr>
          <w:rFonts w:ascii="Arial" w:hAnsi="Arial" w:cs="Arial"/>
        </w:rPr>
        <w:t>One Adelante</w:t>
      </w:r>
      <w:r w:rsidRPr="00F96C7B">
        <w:rPr>
          <w:rFonts w:ascii="Arial" w:hAnsi="Arial" w:cs="Arial"/>
        </w:rPr>
        <w:t xml:space="preserve"> team in the recruiting planning initiatives to select which Hispanic colleges are targeted  </w:t>
      </w:r>
    </w:p>
    <w:p w:rsidR="003D4FE9" w:rsidRDefault="003D4FE9" w:rsidP="003D4FE9">
      <w:pPr>
        <w:ind w:left="1440"/>
        <w:rPr>
          <w:rFonts w:ascii="Arial" w:hAnsi="Arial" w:cs="Arial"/>
        </w:rPr>
      </w:pPr>
    </w:p>
    <w:p w:rsidR="00E05966" w:rsidRPr="000B765C" w:rsidRDefault="00E05966" w:rsidP="001F6922">
      <w:pPr>
        <w:numPr>
          <w:ilvl w:val="0"/>
          <w:numId w:val="17"/>
        </w:numPr>
        <w:rPr>
          <w:rFonts w:ascii="Arial" w:hAnsi="Arial" w:cs="Arial"/>
          <w:b/>
        </w:rPr>
      </w:pPr>
      <w:r w:rsidRPr="000B765C">
        <w:rPr>
          <w:rFonts w:ascii="Arial" w:hAnsi="Arial" w:cs="Arial"/>
          <w:b/>
        </w:rPr>
        <w:t>Diversity &amp; Inclusion</w:t>
      </w:r>
    </w:p>
    <w:p w:rsidR="003D4FE9" w:rsidRPr="00F96C7B" w:rsidRDefault="003D4FE9" w:rsidP="001F6922">
      <w:pPr>
        <w:numPr>
          <w:ilvl w:val="1"/>
          <w:numId w:val="17"/>
        </w:numPr>
        <w:rPr>
          <w:rFonts w:ascii="Arial" w:hAnsi="Arial" w:cs="Arial"/>
        </w:rPr>
      </w:pPr>
      <w:r w:rsidRPr="00F96C7B">
        <w:rPr>
          <w:rFonts w:ascii="Arial" w:hAnsi="Arial" w:cs="Arial"/>
        </w:rPr>
        <w:t xml:space="preserve">Shall be responsible for interfacing with the corporate D&amp;I team on behalf on </w:t>
      </w:r>
      <w:r w:rsidR="00667090">
        <w:rPr>
          <w:rFonts w:ascii="Arial" w:hAnsi="Arial" w:cs="Arial"/>
        </w:rPr>
        <w:t>One Adelante</w:t>
      </w:r>
      <w:r w:rsidRPr="00F96C7B">
        <w:rPr>
          <w:rFonts w:ascii="Arial" w:hAnsi="Arial" w:cs="Arial"/>
        </w:rPr>
        <w:t xml:space="preserve"> </w:t>
      </w:r>
    </w:p>
    <w:p w:rsidR="003D4FE9" w:rsidRPr="00F96C7B" w:rsidRDefault="003D4FE9" w:rsidP="001F6922">
      <w:pPr>
        <w:numPr>
          <w:ilvl w:val="1"/>
          <w:numId w:val="17"/>
        </w:numPr>
        <w:rPr>
          <w:rFonts w:ascii="Arial" w:hAnsi="Arial" w:cs="Arial"/>
        </w:rPr>
      </w:pPr>
      <w:r w:rsidRPr="00F96C7B">
        <w:rPr>
          <w:rFonts w:ascii="Arial" w:hAnsi="Arial" w:cs="Arial"/>
        </w:rPr>
        <w:t xml:space="preserve">Shall be responsible for attending all </w:t>
      </w:r>
      <w:r w:rsidR="00667090">
        <w:rPr>
          <w:rFonts w:ascii="Arial" w:hAnsi="Arial" w:cs="Arial"/>
        </w:rPr>
        <w:t>One Adelante</w:t>
      </w:r>
      <w:r w:rsidRPr="00F96C7B">
        <w:rPr>
          <w:rFonts w:ascii="Arial" w:hAnsi="Arial" w:cs="Arial"/>
        </w:rPr>
        <w:t xml:space="preserve"> meetings</w:t>
      </w:r>
    </w:p>
    <w:p w:rsidR="003D4FE9" w:rsidRDefault="003D4FE9" w:rsidP="001F6922">
      <w:pPr>
        <w:numPr>
          <w:ilvl w:val="1"/>
          <w:numId w:val="17"/>
        </w:numPr>
        <w:rPr>
          <w:rFonts w:ascii="Arial" w:hAnsi="Arial" w:cs="Arial"/>
        </w:rPr>
      </w:pPr>
      <w:r w:rsidRPr="00F96C7B">
        <w:rPr>
          <w:rFonts w:ascii="Arial" w:hAnsi="Arial" w:cs="Arial"/>
        </w:rPr>
        <w:t xml:space="preserve">Shall provide awareness of Diversity initiatives and instill diversity throughout the </w:t>
      </w:r>
      <w:r w:rsidR="00667090">
        <w:rPr>
          <w:rFonts w:ascii="Arial" w:hAnsi="Arial" w:cs="Arial"/>
        </w:rPr>
        <w:t>One Adelante</w:t>
      </w:r>
      <w:r w:rsidRPr="00F96C7B">
        <w:rPr>
          <w:rFonts w:ascii="Arial" w:hAnsi="Arial" w:cs="Arial"/>
        </w:rPr>
        <w:t xml:space="preserve"> team</w:t>
      </w:r>
    </w:p>
    <w:p w:rsidR="002D2DDB" w:rsidRPr="00CF118D" w:rsidRDefault="00E9022F">
      <w:pPr>
        <w:numPr>
          <w:ilvl w:val="0"/>
          <w:numId w:val="17"/>
        </w:numPr>
        <w:rPr>
          <w:rFonts w:ascii="Arial" w:hAnsi="Arial" w:cs="Arial"/>
          <w:b/>
        </w:rPr>
      </w:pPr>
      <w:r w:rsidRPr="00E9022F">
        <w:rPr>
          <w:rFonts w:ascii="Arial" w:hAnsi="Arial" w:cs="Arial"/>
          <w:b/>
        </w:rPr>
        <w:t>Senior Advisors</w:t>
      </w:r>
    </w:p>
    <w:p w:rsidR="00CA2BFC" w:rsidRDefault="00CA2BFC" w:rsidP="00CA2BFC">
      <w:pPr>
        <w:numPr>
          <w:ilvl w:val="1"/>
          <w:numId w:val="17"/>
        </w:numPr>
        <w:rPr>
          <w:rFonts w:ascii="Arial" w:hAnsi="Arial" w:cs="Arial"/>
        </w:rPr>
      </w:pPr>
      <w:r>
        <w:rPr>
          <w:rFonts w:ascii="Arial" w:hAnsi="Arial" w:cs="Arial"/>
        </w:rPr>
        <w:t>Shall be invited to participate on all One Adelante meetings</w:t>
      </w:r>
    </w:p>
    <w:p w:rsidR="00CA2BFC" w:rsidRDefault="00CA2BFC" w:rsidP="00CA2BFC">
      <w:pPr>
        <w:numPr>
          <w:ilvl w:val="1"/>
          <w:numId w:val="17"/>
        </w:numPr>
        <w:rPr>
          <w:rFonts w:ascii="Arial" w:hAnsi="Arial" w:cs="Arial"/>
        </w:rPr>
      </w:pPr>
      <w:r>
        <w:rPr>
          <w:rFonts w:ascii="Arial" w:hAnsi="Arial" w:cs="Arial"/>
        </w:rPr>
        <w:t>Shall provide recommendations on One Adelante-led strategic initiatives and activities</w:t>
      </w:r>
    </w:p>
    <w:p w:rsidR="002D2DDB" w:rsidRDefault="002D2DDB">
      <w:pPr>
        <w:ind w:left="1440"/>
        <w:rPr>
          <w:rFonts w:ascii="Arial" w:hAnsi="Arial" w:cs="Arial"/>
        </w:rPr>
      </w:pPr>
    </w:p>
    <w:p w:rsidR="008847FC" w:rsidRDefault="008847FC" w:rsidP="008847FC">
      <w:pPr>
        <w:ind w:left="720"/>
        <w:rPr>
          <w:rFonts w:ascii="Arial" w:hAnsi="Arial" w:cs="Arial"/>
        </w:rPr>
      </w:pPr>
    </w:p>
    <w:p w:rsidR="00493ABF" w:rsidRPr="006D4C57" w:rsidRDefault="00493ABF" w:rsidP="00493ABF">
      <w:pPr>
        <w:rPr>
          <w:rFonts w:ascii="Arial" w:hAnsi="Arial" w:cs="Arial"/>
          <w:b/>
          <w:u w:val="single"/>
        </w:rPr>
      </w:pPr>
      <w:r w:rsidRPr="006D4C57">
        <w:rPr>
          <w:rFonts w:ascii="Arial" w:hAnsi="Arial" w:cs="Arial"/>
          <w:b/>
          <w:u w:val="single"/>
        </w:rPr>
        <w:t>Sector Representatives:</w:t>
      </w:r>
    </w:p>
    <w:p w:rsidR="002B3577" w:rsidRDefault="002B3577" w:rsidP="002B3577">
      <w:pPr>
        <w:rPr>
          <w:rFonts w:ascii="Arial" w:hAnsi="Arial" w:cs="Arial"/>
        </w:rPr>
      </w:pPr>
      <w:r w:rsidRPr="00811D96">
        <w:rPr>
          <w:rFonts w:ascii="Arial" w:hAnsi="Arial" w:cs="Arial"/>
        </w:rPr>
        <w:t xml:space="preserve">The </w:t>
      </w:r>
      <w:r>
        <w:rPr>
          <w:rFonts w:ascii="Arial" w:hAnsi="Arial" w:cs="Arial"/>
        </w:rPr>
        <w:t>following is the responsibility of the sector Adelante representatives:</w:t>
      </w:r>
    </w:p>
    <w:p w:rsidR="002B3577" w:rsidRDefault="002B3577" w:rsidP="001F6922">
      <w:pPr>
        <w:numPr>
          <w:ilvl w:val="0"/>
          <w:numId w:val="26"/>
        </w:numPr>
        <w:rPr>
          <w:rFonts w:ascii="Arial" w:hAnsi="Arial" w:cs="Arial"/>
        </w:rPr>
      </w:pPr>
      <w:r>
        <w:rPr>
          <w:rFonts w:ascii="Arial" w:hAnsi="Arial" w:cs="Arial"/>
        </w:rPr>
        <w:t>Sit on the Enterprise Board as the sector Point of Contact (POC)</w:t>
      </w:r>
    </w:p>
    <w:p w:rsidR="002B3577" w:rsidRDefault="002B3577" w:rsidP="001F6922">
      <w:pPr>
        <w:numPr>
          <w:ilvl w:val="0"/>
          <w:numId w:val="26"/>
        </w:numPr>
        <w:rPr>
          <w:rFonts w:ascii="Arial" w:hAnsi="Arial" w:cs="Arial"/>
        </w:rPr>
      </w:pPr>
      <w:r>
        <w:rPr>
          <w:rFonts w:ascii="Arial" w:hAnsi="Arial" w:cs="Arial"/>
        </w:rPr>
        <w:t>Serve as the liaison between the Enterprise One Adelante and the Campus/Regions</w:t>
      </w:r>
    </w:p>
    <w:p w:rsidR="002B3577" w:rsidRDefault="002B3577" w:rsidP="001F6922">
      <w:pPr>
        <w:numPr>
          <w:ilvl w:val="0"/>
          <w:numId w:val="26"/>
        </w:numPr>
        <w:rPr>
          <w:rFonts w:ascii="Arial" w:hAnsi="Arial" w:cs="Arial"/>
        </w:rPr>
      </w:pPr>
      <w:r>
        <w:rPr>
          <w:rFonts w:ascii="Arial" w:hAnsi="Arial" w:cs="Arial"/>
        </w:rPr>
        <w:t xml:space="preserve">Provide feedback to the Enterprise Board from decisions taken at the sector level </w:t>
      </w:r>
    </w:p>
    <w:p w:rsidR="002B3577" w:rsidRDefault="002B3577" w:rsidP="001F6922">
      <w:pPr>
        <w:numPr>
          <w:ilvl w:val="0"/>
          <w:numId w:val="26"/>
        </w:numPr>
        <w:rPr>
          <w:rFonts w:ascii="Arial" w:hAnsi="Arial" w:cs="Arial"/>
        </w:rPr>
      </w:pPr>
      <w:r>
        <w:rPr>
          <w:rFonts w:ascii="Arial" w:hAnsi="Arial" w:cs="Arial"/>
        </w:rPr>
        <w:t xml:space="preserve">Ensure sector goals and objectives are consistent </w:t>
      </w:r>
      <w:r w:rsidR="00BB41DF">
        <w:rPr>
          <w:rFonts w:ascii="Arial" w:hAnsi="Arial" w:cs="Arial"/>
        </w:rPr>
        <w:t>across</w:t>
      </w:r>
      <w:r>
        <w:rPr>
          <w:rFonts w:ascii="Arial" w:hAnsi="Arial" w:cs="Arial"/>
        </w:rPr>
        <w:t xml:space="preserve"> sectors </w:t>
      </w:r>
    </w:p>
    <w:p w:rsidR="00E05966" w:rsidRDefault="00E05966" w:rsidP="00E05966">
      <w:pPr>
        <w:ind w:left="720"/>
        <w:rPr>
          <w:rFonts w:ascii="Arial" w:hAnsi="Arial" w:cs="Arial"/>
        </w:rPr>
      </w:pPr>
    </w:p>
    <w:p w:rsidR="00734F6C" w:rsidRDefault="00734F6C" w:rsidP="00E05966">
      <w:pPr>
        <w:ind w:left="720"/>
        <w:rPr>
          <w:rFonts w:ascii="Arial" w:hAnsi="Arial" w:cs="Arial"/>
        </w:rPr>
      </w:pPr>
    </w:p>
    <w:p w:rsidR="00734F6C" w:rsidRPr="000B765C" w:rsidRDefault="00734F6C" w:rsidP="001F6922">
      <w:pPr>
        <w:pStyle w:val="Heading1"/>
        <w:numPr>
          <w:ilvl w:val="3"/>
          <w:numId w:val="27"/>
        </w:numPr>
        <w:rPr>
          <w:sz w:val="28"/>
          <w:szCs w:val="28"/>
        </w:rPr>
      </w:pPr>
      <w:bookmarkStart w:id="17" w:name="_Toc290505461"/>
      <w:r w:rsidRPr="000B765C">
        <w:rPr>
          <w:sz w:val="28"/>
          <w:szCs w:val="28"/>
        </w:rPr>
        <w:lastRenderedPageBreak/>
        <w:t>Elections:</w:t>
      </w:r>
      <w:bookmarkEnd w:id="17"/>
    </w:p>
    <w:p w:rsidR="00C26DEF" w:rsidRDefault="00FD4650" w:rsidP="00C26DEF">
      <w:pPr>
        <w:rPr>
          <w:rFonts w:ascii="Arial" w:hAnsi="Arial" w:cs="Arial"/>
        </w:rPr>
      </w:pPr>
      <w:r>
        <w:rPr>
          <w:rFonts w:ascii="Arial" w:hAnsi="Arial" w:cs="Arial"/>
        </w:rPr>
        <w:t>The One Adelante election process is described below:</w:t>
      </w:r>
    </w:p>
    <w:p w:rsidR="00C26DEF" w:rsidRPr="00C26DEF" w:rsidRDefault="00C26DEF" w:rsidP="00C26DEF">
      <w:pPr>
        <w:pStyle w:val="ListParagraph"/>
        <w:numPr>
          <w:ilvl w:val="0"/>
          <w:numId w:val="30"/>
        </w:numPr>
        <w:rPr>
          <w:rFonts w:ascii="Arial" w:hAnsi="Arial" w:cs="Arial"/>
        </w:rPr>
      </w:pPr>
      <w:r w:rsidRPr="00C26DEF">
        <w:rPr>
          <w:rFonts w:ascii="Arial" w:hAnsi="Arial" w:cs="Arial"/>
        </w:rPr>
        <w:t>Identification of candidates to executive board positions</w:t>
      </w:r>
    </w:p>
    <w:p w:rsidR="00C26DEF" w:rsidRDefault="00C26DEF" w:rsidP="00C26DEF">
      <w:pPr>
        <w:pStyle w:val="ListParagraph"/>
        <w:numPr>
          <w:ilvl w:val="1"/>
          <w:numId w:val="30"/>
        </w:numPr>
        <w:rPr>
          <w:rFonts w:ascii="Arial" w:hAnsi="Arial" w:cs="Arial"/>
        </w:rPr>
      </w:pPr>
      <w:r w:rsidRPr="00C26DEF">
        <w:rPr>
          <w:rFonts w:ascii="Arial" w:hAnsi="Arial" w:cs="Arial"/>
        </w:rPr>
        <w:t>All members will be e-mailed to identify potential candidates for all open positions based on qualifications</w:t>
      </w:r>
    </w:p>
    <w:p w:rsidR="00E060C5" w:rsidRPr="00C26DEF" w:rsidRDefault="00E060C5" w:rsidP="00E060C5">
      <w:pPr>
        <w:pStyle w:val="ListParagraph"/>
        <w:ind w:left="1440"/>
        <w:rPr>
          <w:rFonts w:ascii="Arial" w:hAnsi="Arial" w:cs="Arial"/>
        </w:rPr>
      </w:pPr>
    </w:p>
    <w:p w:rsidR="00C26DEF" w:rsidRPr="00C26DEF" w:rsidRDefault="00C26DEF" w:rsidP="00C26DEF">
      <w:pPr>
        <w:pStyle w:val="ListParagraph"/>
        <w:numPr>
          <w:ilvl w:val="0"/>
          <w:numId w:val="30"/>
        </w:numPr>
        <w:rPr>
          <w:rFonts w:ascii="Arial" w:hAnsi="Arial" w:cs="Arial"/>
        </w:rPr>
      </w:pPr>
      <w:r w:rsidRPr="00C26DEF">
        <w:rPr>
          <w:rFonts w:ascii="Arial" w:hAnsi="Arial" w:cs="Arial"/>
        </w:rPr>
        <w:t>Qualifications</w:t>
      </w:r>
    </w:p>
    <w:p w:rsidR="00C26DEF" w:rsidRPr="00C26DEF" w:rsidRDefault="00FD4650" w:rsidP="00C26DEF">
      <w:pPr>
        <w:pStyle w:val="ListParagraph"/>
        <w:numPr>
          <w:ilvl w:val="1"/>
          <w:numId w:val="30"/>
        </w:numPr>
        <w:rPr>
          <w:rFonts w:ascii="Arial" w:hAnsi="Arial" w:cs="Arial"/>
        </w:rPr>
      </w:pPr>
      <w:r>
        <w:rPr>
          <w:rFonts w:ascii="Arial" w:hAnsi="Arial" w:cs="Arial"/>
        </w:rPr>
        <w:t xml:space="preserve">The </w:t>
      </w:r>
      <w:r w:rsidR="00C26DEF" w:rsidRPr="00C26DEF">
        <w:rPr>
          <w:rFonts w:ascii="Arial" w:hAnsi="Arial" w:cs="Arial"/>
        </w:rPr>
        <w:t xml:space="preserve">Chair/Vice Chair </w:t>
      </w:r>
      <w:r>
        <w:rPr>
          <w:rFonts w:ascii="Arial" w:hAnsi="Arial" w:cs="Arial"/>
        </w:rPr>
        <w:t xml:space="preserve">for One Adelante will be required to have served as </w:t>
      </w:r>
      <w:r w:rsidR="008B23FE">
        <w:rPr>
          <w:rFonts w:ascii="Arial" w:hAnsi="Arial" w:cs="Arial"/>
        </w:rPr>
        <w:t>past</w:t>
      </w:r>
      <w:r>
        <w:rPr>
          <w:rFonts w:ascii="Arial" w:hAnsi="Arial" w:cs="Arial"/>
        </w:rPr>
        <w:t xml:space="preserve"> sector/campus Chair for Adelante</w:t>
      </w:r>
      <w:r w:rsidR="008B23FE">
        <w:rPr>
          <w:rFonts w:ascii="Arial" w:hAnsi="Arial" w:cs="Arial"/>
        </w:rPr>
        <w:t>.</w:t>
      </w:r>
    </w:p>
    <w:p w:rsidR="00C26DEF" w:rsidRDefault="00FD4650" w:rsidP="00C26DEF">
      <w:pPr>
        <w:pStyle w:val="ListParagraph"/>
        <w:numPr>
          <w:ilvl w:val="1"/>
          <w:numId w:val="30"/>
        </w:numPr>
        <w:rPr>
          <w:rFonts w:ascii="Arial" w:hAnsi="Arial" w:cs="Arial"/>
        </w:rPr>
      </w:pPr>
      <w:r>
        <w:rPr>
          <w:rFonts w:ascii="Arial" w:hAnsi="Arial" w:cs="Arial"/>
        </w:rPr>
        <w:t xml:space="preserve">The </w:t>
      </w:r>
      <w:r w:rsidR="00C26DEF" w:rsidRPr="00C26DEF">
        <w:rPr>
          <w:rFonts w:ascii="Arial" w:hAnsi="Arial" w:cs="Arial"/>
        </w:rPr>
        <w:t xml:space="preserve">Secretary/Communications/Treasurer/Awards &amp; </w:t>
      </w:r>
      <w:r w:rsidR="00E060C5">
        <w:rPr>
          <w:rFonts w:ascii="Arial" w:hAnsi="Arial" w:cs="Arial"/>
        </w:rPr>
        <w:t xml:space="preserve">Recognition/Strategic Planning </w:t>
      </w:r>
      <w:r>
        <w:rPr>
          <w:rFonts w:ascii="Arial" w:hAnsi="Arial" w:cs="Arial"/>
        </w:rPr>
        <w:t>positions require</w:t>
      </w:r>
      <w:r w:rsidR="00C26DEF" w:rsidRPr="00C26DEF">
        <w:rPr>
          <w:rFonts w:ascii="Arial" w:hAnsi="Arial" w:cs="Arial"/>
        </w:rPr>
        <w:t xml:space="preserve"> </w:t>
      </w:r>
      <w:r>
        <w:rPr>
          <w:rFonts w:ascii="Arial" w:hAnsi="Arial" w:cs="Arial"/>
        </w:rPr>
        <w:t>the individuals to have served as past sector/campus board member.</w:t>
      </w:r>
    </w:p>
    <w:p w:rsidR="00E060C5" w:rsidRPr="00C26DEF" w:rsidRDefault="00E060C5" w:rsidP="00E060C5">
      <w:pPr>
        <w:pStyle w:val="ListParagraph"/>
        <w:ind w:left="1440"/>
        <w:rPr>
          <w:rFonts w:ascii="Arial" w:hAnsi="Arial" w:cs="Arial"/>
        </w:rPr>
      </w:pPr>
    </w:p>
    <w:p w:rsidR="00C26DEF" w:rsidRPr="00C26DEF" w:rsidRDefault="00C26DEF" w:rsidP="00C26DEF">
      <w:pPr>
        <w:pStyle w:val="ListParagraph"/>
        <w:numPr>
          <w:ilvl w:val="0"/>
          <w:numId w:val="30"/>
        </w:numPr>
        <w:rPr>
          <w:rFonts w:ascii="Arial" w:hAnsi="Arial" w:cs="Arial"/>
        </w:rPr>
      </w:pPr>
      <w:r w:rsidRPr="00C26DEF">
        <w:rPr>
          <w:rFonts w:ascii="Arial" w:hAnsi="Arial" w:cs="Arial"/>
        </w:rPr>
        <w:t>Notification for nominations</w:t>
      </w:r>
    </w:p>
    <w:p w:rsidR="00C26DEF" w:rsidRPr="00C26DEF" w:rsidRDefault="00C26DEF" w:rsidP="00C26DEF">
      <w:pPr>
        <w:pStyle w:val="ListParagraph"/>
        <w:numPr>
          <w:ilvl w:val="1"/>
          <w:numId w:val="30"/>
        </w:numPr>
        <w:rPr>
          <w:rFonts w:ascii="Arial" w:hAnsi="Arial" w:cs="Arial"/>
        </w:rPr>
      </w:pPr>
      <w:r w:rsidRPr="00C26DEF">
        <w:rPr>
          <w:rFonts w:ascii="Arial" w:hAnsi="Arial" w:cs="Arial"/>
        </w:rPr>
        <w:t>Notification will go out to all Adelante members for all open positions</w:t>
      </w:r>
    </w:p>
    <w:p w:rsidR="00C26DEF" w:rsidRDefault="00C26DEF" w:rsidP="00C26DEF">
      <w:pPr>
        <w:pStyle w:val="ListParagraph"/>
        <w:numPr>
          <w:ilvl w:val="1"/>
          <w:numId w:val="30"/>
        </w:numPr>
        <w:rPr>
          <w:rFonts w:ascii="Arial" w:hAnsi="Arial" w:cs="Arial"/>
        </w:rPr>
      </w:pPr>
      <w:r w:rsidRPr="00C26DEF">
        <w:rPr>
          <w:rFonts w:ascii="Arial" w:hAnsi="Arial" w:cs="Arial"/>
        </w:rPr>
        <w:t>Once the potential candidate has been nominated, the individual will be requested a statement of qualification for the position</w:t>
      </w:r>
    </w:p>
    <w:p w:rsidR="00E060C5" w:rsidRPr="00C26DEF" w:rsidRDefault="00E060C5" w:rsidP="00E060C5">
      <w:pPr>
        <w:pStyle w:val="ListParagraph"/>
        <w:ind w:left="1440"/>
        <w:rPr>
          <w:rFonts w:ascii="Arial" w:hAnsi="Arial" w:cs="Arial"/>
        </w:rPr>
      </w:pPr>
    </w:p>
    <w:p w:rsidR="00C26DEF" w:rsidRPr="00C26DEF" w:rsidRDefault="00C26DEF" w:rsidP="00C26DEF">
      <w:pPr>
        <w:pStyle w:val="ListParagraph"/>
        <w:numPr>
          <w:ilvl w:val="0"/>
          <w:numId w:val="30"/>
        </w:numPr>
        <w:rPr>
          <w:rFonts w:ascii="Arial" w:hAnsi="Arial" w:cs="Arial"/>
        </w:rPr>
      </w:pPr>
      <w:r w:rsidRPr="00C26DEF">
        <w:rPr>
          <w:rFonts w:ascii="Arial" w:hAnsi="Arial" w:cs="Arial"/>
        </w:rPr>
        <w:t>Voting</w:t>
      </w:r>
    </w:p>
    <w:p w:rsidR="00C26DEF" w:rsidRPr="00C26DEF" w:rsidRDefault="0075562C" w:rsidP="00C26DEF">
      <w:pPr>
        <w:pStyle w:val="ListParagraph"/>
        <w:numPr>
          <w:ilvl w:val="1"/>
          <w:numId w:val="30"/>
        </w:numPr>
        <w:rPr>
          <w:rFonts w:ascii="Arial" w:hAnsi="Arial" w:cs="Arial"/>
        </w:rPr>
      </w:pPr>
      <w:r w:rsidRPr="0075562C">
        <w:rPr>
          <w:rFonts w:ascii="Arial" w:hAnsi="Arial" w:cs="Arial"/>
        </w:rPr>
        <w:t>Voting will be d</w:t>
      </w:r>
      <w:r w:rsidR="00C26DEF" w:rsidRPr="00C26DEF">
        <w:rPr>
          <w:rFonts w:ascii="Arial" w:hAnsi="Arial" w:cs="Arial"/>
        </w:rPr>
        <w:t xml:space="preserve">one via </w:t>
      </w:r>
      <w:r w:rsidRPr="0075562C">
        <w:rPr>
          <w:rFonts w:ascii="Arial" w:hAnsi="Arial" w:cs="Arial"/>
        </w:rPr>
        <w:t xml:space="preserve">an </w:t>
      </w:r>
      <w:r w:rsidR="00C26DEF" w:rsidRPr="00C26DEF">
        <w:rPr>
          <w:rFonts w:ascii="Arial" w:hAnsi="Arial" w:cs="Arial"/>
        </w:rPr>
        <w:t xml:space="preserve">on-line survey </w:t>
      </w:r>
      <w:r w:rsidRPr="0075562C">
        <w:rPr>
          <w:rFonts w:ascii="Arial" w:hAnsi="Arial" w:cs="Arial"/>
        </w:rPr>
        <w:t xml:space="preserve">distributed to all Adelante members along with candidate’s statement of qualification </w:t>
      </w:r>
    </w:p>
    <w:p w:rsidR="00DC7CF6" w:rsidRDefault="00C26DEF" w:rsidP="00DC7CF6">
      <w:pPr>
        <w:pStyle w:val="ListParagraph"/>
        <w:numPr>
          <w:ilvl w:val="1"/>
          <w:numId w:val="30"/>
        </w:numPr>
        <w:rPr>
          <w:rFonts w:ascii="Arial" w:hAnsi="Arial" w:cs="Arial"/>
        </w:rPr>
      </w:pPr>
      <w:r w:rsidRPr="00C26DEF">
        <w:rPr>
          <w:rFonts w:ascii="Arial" w:hAnsi="Arial" w:cs="Arial"/>
        </w:rPr>
        <w:t xml:space="preserve">All Adelante members </w:t>
      </w:r>
      <w:r w:rsidR="0075562C">
        <w:rPr>
          <w:rFonts w:ascii="Arial" w:hAnsi="Arial" w:cs="Arial"/>
        </w:rPr>
        <w:t xml:space="preserve"> will be eligible to vote for all </w:t>
      </w:r>
      <w:r w:rsidRPr="00C26DEF">
        <w:rPr>
          <w:rFonts w:ascii="Arial" w:hAnsi="Arial" w:cs="Arial"/>
        </w:rPr>
        <w:t>positions except for chair</w:t>
      </w:r>
    </w:p>
    <w:p w:rsidR="008E3CA9" w:rsidRDefault="003D5FBB">
      <w:pPr>
        <w:pStyle w:val="ListParagraph"/>
        <w:numPr>
          <w:ilvl w:val="1"/>
          <w:numId w:val="30"/>
        </w:numPr>
        <w:tabs>
          <w:tab w:val="num" w:pos="1440"/>
        </w:tabs>
        <w:rPr>
          <w:rFonts w:ascii="Arial" w:hAnsi="Arial" w:cs="Arial"/>
        </w:rPr>
      </w:pPr>
      <w:r w:rsidRPr="00DC7CF6">
        <w:rPr>
          <w:rFonts w:ascii="Arial" w:hAnsi="Arial" w:cs="Arial"/>
        </w:rPr>
        <w:t xml:space="preserve">Chair will </w:t>
      </w:r>
      <w:r w:rsidR="002A2960" w:rsidRPr="00DC7CF6">
        <w:rPr>
          <w:rFonts w:ascii="Arial" w:hAnsi="Arial" w:cs="Arial"/>
        </w:rPr>
        <w:t xml:space="preserve">be </w:t>
      </w:r>
      <w:r w:rsidRPr="00DC7CF6">
        <w:rPr>
          <w:rFonts w:ascii="Arial" w:hAnsi="Arial" w:cs="Arial"/>
        </w:rPr>
        <w:t>selected</w:t>
      </w:r>
      <w:r w:rsidR="00DC7CF6" w:rsidRPr="00DC7CF6">
        <w:rPr>
          <w:rFonts w:ascii="Arial" w:hAnsi="Arial" w:cs="Arial"/>
        </w:rPr>
        <w:t xml:space="preserve"> from Sector board members only, </w:t>
      </w:r>
      <w:r w:rsidRPr="00DC7CF6">
        <w:rPr>
          <w:rFonts w:ascii="Arial" w:hAnsi="Arial" w:cs="Arial"/>
        </w:rPr>
        <w:t xml:space="preserve">including </w:t>
      </w:r>
      <w:r w:rsidR="0013462A" w:rsidRPr="00DC7CF6">
        <w:rPr>
          <w:rFonts w:ascii="Arial" w:hAnsi="Arial" w:cs="Arial"/>
        </w:rPr>
        <w:t xml:space="preserve">the </w:t>
      </w:r>
      <w:r w:rsidR="00DC7CF6" w:rsidRPr="00DC7CF6">
        <w:rPr>
          <w:rFonts w:ascii="Arial" w:hAnsi="Arial" w:cs="Arial"/>
        </w:rPr>
        <w:t xml:space="preserve">Adelante </w:t>
      </w:r>
      <w:r w:rsidR="0013462A" w:rsidRPr="00DC7CF6">
        <w:rPr>
          <w:rFonts w:ascii="Arial" w:hAnsi="Arial" w:cs="Arial"/>
        </w:rPr>
        <w:t xml:space="preserve">campus chairs </w:t>
      </w:r>
    </w:p>
    <w:p w:rsidR="000B215F" w:rsidRDefault="00E9022F" w:rsidP="008E3CA9">
      <w:pPr>
        <w:pStyle w:val="ListParagraph"/>
        <w:numPr>
          <w:ilvl w:val="0"/>
          <w:numId w:val="30"/>
        </w:numPr>
        <w:rPr>
          <w:rFonts w:ascii="Arial" w:hAnsi="Arial" w:cs="Arial"/>
        </w:rPr>
      </w:pPr>
      <w:r w:rsidRPr="00E9022F">
        <w:rPr>
          <w:rFonts w:ascii="Arial" w:hAnsi="Arial" w:cs="Arial"/>
        </w:rPr>
        <w:t>Term Limits</w:t>
      </w:r>
    </w:p>
    <w:p w:rsidR="0075562C" w:rsidRDefault="00E9022F" w:rsidP="00FD4650">
      <w:pPr>
        <w:numPr>
          <w:ilvl w:val="2"/>
          <w:numId w:val="29"/>
        </w:numPr>
        <w:tabs>
          <w:tab w:val="num" w:pos="2160"/>
        </w:tabs>
        <w:rPr>
          <w:rFonts w:ascii="Arial" w:hAnsi="Arial" w:cs="Arial"/>
        </w:rPr>
      </w:pPr>
      <w:r>
        <w:rPr>
          <w:rFonts w:ascii="Arial" w:hAnsi="Arial" w:cs="Arial"/>
        </w:rPr>
        <w:t>One Adelante Executive board members should remain in their positions for a maximum</w:t>
      </w:r>
      <w:r w:rsidR="000F1ACD">
        <w:rPr>
          <w:rFonts w:ascii="Arial" w:hAnsi="Arial" w:cs="Arial"/>
        </w:rPr>
        <w:t xml:space="preserve"> of </w:t>
      </w:r>
      <w:r w:rsidR="0013462A">
        <w:rPr>
          <w:rFonts w:ascii="Arial" w:hAnsi="Arial" w:cs="Arial"/>
        </w:rPr>
        <w:t>t</w:t>
      </w:r>
      <w:r w:rsidR="0075562C" w:rsidRPr="00FD4650">
        <w:rPr>
          <w:rFonts w:ascii="Arial" w:hAnsi="Arial" w:cs="Arial"/>
        </w:rPr>
        <w:t>wo years</w:t>
      </w:r>
      <w:r w:rsidR="00E060C5">
        <w:rPr>
          <w:rFonts w:ascii="Arial" w:hAnsi="Arial" w:cs="Arial"/>
        </w:rPr>
        <w:t xml:space="preserve"> </w:t>
      </w:r>
      <w:r w:rsidR="000F1ACD">
        <w:rPr>
          <w:rFonts w:ascii="Arial" w:hAnsi="Arial" w:cs="Arial"/>
        </w:rPr>
        <w:t>in a single position</w:t>
      </w:r>
    </w:p>
    <w:p w:rsidR="000F1ACD" w:rsidRDefault="000F1ACD" w:rsidP="000F1ACD">
      <w:pPr>
        <w:numPr>
          <w:ilvl w:val="2"/>
          <w:numId w:val="29"/>
        </w:numPr>
        <w:tabs>
          <w:tab w:val="num" w:pos="2160"/>
        </w:tabs>
        <w:rPr>
          <w:rFonts w:ascii="Arial" w:hAnsi="Arial" w:cs="Arial"/>
        </w:rPr>
      </w:pPr>
      <w:r>
        <w:rPr>
          <w:rFonts w:ascii="Arial" w:hAnsi="Arial" w:cs="Arial"/>
        </w:rPr>
        <w:t>In the case the Chair cannot assume their full term as required, the vice-chair will assume the chair position</w:t>
      </w:r>
    </w:p>
    <w:p w:rsidR="000F1ACD" w:rsidRPr="00FD4650" w:rsidRDefault="000F1ACD" w:rsidP="000F1ACD">
      <w:pPr>
        <w:numPr>
          <w:ilvl w:val="2"/>
          <w:numId w:val="29"/>
        </w:numPr>
        <w:tabs>
          <w:tab w:val="num" w:pos="2160"/>
        </w:tabs>
        <w:rPr>
          <w:rFonts w:ascii="Arial" w:hAnsi="Arial" w:cs="Arial"/>
        </w:rPr>
      </w:pPr>
      <w:r>
        <w:rPr>
          <w:rFonts w:ascii="Arial" w:hAnsi="Arial" w:cs="Arial"/>
        </w:rPr>
        <w:t>In the case where any executive board member cannot assume the full term on their position, the position will be open for elections</w:t>
      </w:r>
    </w:p>
    <w:p w:rsidR="00734F6C" w:rsidRPr="00F10FCC" w:rsidRDefault="00734F6C" w:rsidP="00734F6C">
      <w:pPr>
        <w:rPr>
          <w:rFonts w:ascii="Arial" w:hAnsi="Arial" w:cs="Arial"/>
        </w:rPr>
      </w:pPr>
      <w:r w:rsidRPr="00F10FCC">
        <w:rPr>
          <w:rFonts w:ascii="Arial" w:hAnsi="Arial" w:cs="Arial"/>
        </w:rPr>
        <w:t xml:space="preserve"> </w:t>
      </w:r>
    </w:p>
    <w:p w:rsidR="00734F6C" w:rsidRPr="00811D96" w:rsidRDefault="00734F6C" w:rsidP="00E05966">
      <w:pPr>
        <w:ind w:left="720"/>
        <w:rPr>
          <w:rFonts w:ascii="Arial" w:hAnsi="Arial" w:cs="Arial"/>
        </w:rPr>
      </w:pPr>
    </w:p>
    <w:p w:rsidR="00E416A1" w:rsidRPr="00AB169F" w:rsidRDefault="00AB169F" w:rsidP="001F6922">
      <w:pPr>
        <w:pStyle w:val="Heading1"/>
        <w:numPr>
          <w:ilvl w:val="2"/>
          <w:numId w:val="27"/>
        </w:numPr>
        <w:rPr>
          <w:sz w:val="28"/>
          <w:szCs w:val="28"/>
        </w:rPr>
      </w:pPr>
      <w:bookmarkStart w:id="18" w:name="_Toc290505462"/>
      <w:r w:rsidRPr="00AB169F">
        <w:rPr>
          <w:sz w:val="28"/>
          <w:szCs w:val="28"/>
        </w:rPr>
        <w:t>Sector Organizational Structure</w:t>
      </w:r>
      <w:bookmarkEnd w:id="18"/>
    </w:p>
    <w:p w:rsidR="002B3577" w:rsidRDefault="002B3577" w:rsidP="002B3577">
      <w:pPr>
        <w:rPr>
          <w:rFonts w:ascii="Arial" w:hAnsi="Arial" w:cs="Arial"/>
        </w:rPr>
      </w:pPr>
      <w:r>
        <w:rPr>
          <w:rFonts w:ascii="Arial" w:hAnsi="Arial" w:cs="Arial"/>
        </w:rPr>
        <w:t>The organizational structure provided below is only a suggestion to the Adelante sector level and is not intended to dictate how the organization will be configured.  Each sector will be autonomous in the way they strategically plan events and run their organization.  Below is the suggested structure for the Adelante Sectors:</w:t>
      </w:r>
    </w:p>
    <w:p w:rsidR="00D02F8E" w:rsidRDefault="00D02F8E" w:rsidP="00E416A1">
      <w:pPr>
        <w:rPr>
          <w:rFonts w:ascii="Arial" w:hAnsi="Arial" w:cs="Arial"/>
        </w:rPr>
      </w:pPr>
    </w:p>
    <w:p w:rsidR="00E05966" w:rsidRPr="00E05966" w:rsidRDefault="002D2DDB" w:rsidP="00E05966">
      <w:pPr>
        <w:rPr>
          <w:rFonts w:ascii="Arial" w:hAnsi="Arial" w:cs="Arial"/>
        </w:rPr>
      </w:pPr>
      <w:r>
        <w:rPr>
          <w:rFonts w:ascii="Arial" w:hAnsi="Arial" w:cs="Arial"/>
          <w:noProof/>
        </w:rPr>
        <w:lastRenderedPageBreak/>
        <w:drawing>
          <wp:inline distT="0" distB="0" distL="0" distR="0">
            <wp:extent cx="5943600" cy="5007610"/>
            <wp:effectExtent l="0" t="0" r="0" b="0"/>
            <wp:docPr id="11" name="Objec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139345" cy="6857999"/>
                      <a:chOff x="747204" y="0"/>
                      <a:chExt cx="8139345" cy="6857999"/>
                    </a:xfrm>
                  </a:grpSpPr>
                  <a:sp>
                    <a:nvSpPr>
                      <a:cNvPr id="147" name="Rectangle 2"/>
                      <a:cNvSpPr txBox="1">
                        <a:spLocks noChangeArrowheads="1"/>
                      </a:cNvSpPr>
                    </a:nvSpPr>
                    <a:spPr>
                      <a:xfrm>
                        <a:off x="747204" y="0"/>
                        <a:ext cx="6781800" cy="630315"/>
                      </a:xfrm>
                      <a:prstGeom prst="rect">
                        <a:avLst/>
                      </a:prstGeom>
                    </a:spPr>
                    <a:txSp>
                      <a:txBody>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marL="0" marR="0" lvl="0" indent="0" defTabSz="914400" eaLnBrk="0" latinLnBrk="0" hangingPunct="0">
                            <a:lnSpc>
                              <a:spcPct val="100000"/>
                            </a:lnSpc>
                            <a:spcBef>
                              <a:spcPct val="0"/>
                            </a:spcBef>
                            <a:spcAft>
                              <a:spcPct val="0"/>
                            </a:spcAft>
                            <a:buClrTx/>
                            <a:buSzTx/>
                            <a:buNone/>
                            <a:tabLst/>
                            <a:defRPr/>
                          </a:pPr>
                          <a:r>
                            <a:rPr lang="en-US" sz="3000" dirty="0" smtClean="0">
                              <a:effectLst>
                                <a:outerShdw blurRad="38100" dist="38100" dir="2700000" algn="tl">
                                  <a:srgbClr val="C0C0C0"/>
                                </a:outerShdw>
                              </a:effectLst>
                              <a:latin typeface="Tahoma" pitchFamily="34" charset="0"/>
                            </a:rPr>
                            <a:t>Organizational Structure – Sector</a:t>
                          </a:r>
                          <a:endParaRPr lang="en-US" sz="3000" dirty="0">
                            <a:effectLst>
                              <a:outerShdw blurRad="38100" dist="38100" dir="2700000" algn="tl">
                                <a:srgbClr val="C0C0C0"/>
                              </a:outerShdw>
                            </a:effectLst>
                            <a:latin typeface="Tahoma" pitchFamily="34" charset="0"/>
                          </a:endParaRPr>
                        </a:p>
                      </a:txBody>
                      <a:useSpRect/>
                    </a:txSp>
                  </a:sp>
                  <a:sp>
                    <a:nvSpPr>
                      <a:cNvPr id="38" name="Text Box 5"/>
                      <a:cNvSpPr txBox="1">
                        <a:spLocks noChangeArrowheads="1"/>
                      </a:cNvSpPr>
                    </a:nvSpPr>
                    <a:spPr bwMode="auto">
                      <a:xfrm>
                        <a:off x="2544223" y="4185389"/>
                        <a:ext cx="2462212" cy="307975"/>
                      </a:xfrm>
                      <a:prstGeom prst="rect">
                        <a:avLst/>
                      </a:prstGeom>
                      <a:noFill/>
                      <a:ln w="9525">
                        <a:noFill/>
                        <a:miter lim="800000"/>
                        <a:headEnd/>
                        <a:tailEnd/>
                      </a:ln>
                    </a:spPr>
                    <a:txSp>
                      <a:txBody>
                        <a:bodyPr wrap="none" lIns="96652" tIns="48327" rIns="96652" bIns="48327">
                          <a:spAutoFit/>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lgn="ctr" defTabSz="966788"/>
                          <a:r>
                            <a:rPr lang="en-US" sz="1400" b="1" dirty="0">
                              <a:cs typeface="Arial" charset="0"/>
                            </a:rPr>
                            <a:t>Campus Committee Chairs</a:t>
                          </a:r>
                        </a:p>
                      </a:txBody>
                      <a:useSpRect/>
                    </a:txSp>
                  </a:sp>
                  <a:sp>
                    <a:nvSpPr>
                      <a:cNvPr id="39" name="Rectangle 38"/>
                      <a:cNvSpPr>
                        <a:spLocks noChangeArrowheads="1"/>
                      </a:cNvSpPr>
                    </a:nvSpPr>
                    <a:spPr bwMode="auto">
                      <a:xfrm>
                        <a:off x="1036098" y="4118714"/>
                        <a:ext cx="7850451" cy="2739285"/>
                      </a:xfrm>
                      <a:prstGeom prst="rect">
                        <a:avLst/>
                      </a:prstGeom>
                      <a:solidFill>
                        <a:srgbClr val="FFECB2"/>
                      </a:solidFill>
                      <a:ln w="9525" algn="ctr">
                        <a:solidFill>
                          <a:schemeClr val="tx1"/>
                        </a:solidFill>
                        <a:miter lim="800000"/>
                        <a:headEnd/>
                        <a:tailEnd/>
                      </a:ln>
                    </a:spPr>
                    <a:txSp>
                      <a:txBody>
                        <a:bodyPr wrap="none" lIns="96652" tIns="48327" rIns="96652" bIns="48327" anchor="ct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lgn="ctr" defTabSz="966788"/>
                          <a:endParaRPr lang="en-US" sz="2500" dirty="0">
                            <a:cs typeface="Arial" charset="0"/>
                          </a:endParaRPr>
                        </a:p>
                      </a:txBody>
                      <a:useSpRect/>
                    </a:txSp>
                  </a:sp>
                  <a:sp>
                    <a:nvSpPr>
                      <a:cNvPr id="40" name="Rectangle 39"/>
                      <a:cNvSpPr>
                        <a:spLocks noChangeArrowheads="1"/>
                      </a:cNvSpPr>
                    </a:nvSpPr>
                    <a:spPr bwMode="auto">
                      <a:xfrm>
                        <a:off x="1046295" y="613402"/>
                        <a:ext cx="5237162" cy="3436187"/>
                      </a:xfrm>
                      <a:prstGeom prst="rect">
                        <a:avLst/>
                      </a:prstGeom>
                      <a:solidFill>
                        <a:srgbClr val="FFECB2"/>
                      </a:solidFill>
                      <a:ln w="12700" algn="ctr">
                        <a:solidFill>
                          <a:schemeClr val="tx1"/>
                        </a:solidFill>
                        <a:miter lim="800000"/>
                        <a:headEnd/>
                        <a:tailEnd/>
                      </a:ln>
                    </a:spPr>
                    <a:txSp>
                      <a:txBody>
                        <a:bodyPr wrap="none" lIns="102180" tIns="51090" rIns="102180" bIns="51090" anchor="ct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lgn="ctr" defTabSz="1022350"/>
                          <a:endParaRPr lang="en-US" sz="2600" dirty="0">
                            <a:cs typeface="Arial" charset="0"/>
                          </a:endParaRPr>
                        </a:p>
                      </a:txBody>
                      <a:useSpRect/>
                    </a:txSp>
                  </a:sp>
                  <a:sp>
                    <a:nvSpPr>
                      <a:cNvPr id="41" name="Rectangle 40"/>
                      <a:cNvSpPr>
                        <a:spLocks noChangeArrowheads="1"/>
                      </a:cNvSpPr>
                    </a:nvSpPr>
                    <a:spPr bwMode="auto">
                      <a:xfrm>
                        <a:off x="1124082" y="2990903"/>
                        <a:ext cx="1619250" cy="855662"/>
                      </a:xfrm>
                      <a:prstGeom prst="rect">
                        <a:avLst/>
                      </a:prstGeom>
                      <a:gradFill rotWithShape="1">
                        <a:gsLst>
                          <a:gs pos="0">
                            <a:srgbClr val="FF9900">
                              <a:gamma/>
                              <a:shade val="46275"/>
                              <a:invGamma/>
                            </a:srgbClr>
                          </a:gs>
                          <a:gs pos="100000">
                            <a:srgbClr val="FF9900"/>
                          </a:gs>
                        </a:gsLst>
                        <a:lin ang="5400000" scaled="1"/>
                      </a:gradFill>
                      <a:ln w="12700" algn="ctr">
                        <a:noFill/>
                        <a:miter lim="800000"/>
                        <a:headEnd type="none" w="sm" len="sm"/>
                        <a:tailEnd type="none" w="sm" len="sm"/>
                      </a:ln>
                      <a:effectLst>
                        <a:outerShdw dist="107763" dir="2700000" algn="ctr" rotWithShape="0">
                          <a:schemeClr val="bg2">
                            <a:alpha val="50000"/>
                          </a:schemeClr>
                        </a:outerShdw>
                      </a:effectLst>
                    </a:spPr>
                    <a:txSp>
                      <a:txBody>
                        <a:bodyPr wrap="none" lIns="96661" tIns="48331" rIns="96661" bIns="48331"/>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lgn="r" defTabSz="966788">
                            <a:buNone/>
                            <a:defRPr/>
                          </a:pPr>
                          <a:endParaRPr lang="en-US" sz="1000" b="1" dirty="0">
                            <a:solidFill>
                              <a:schemeClr val="bg1"/>
                            </a:solidFill>
                          </a:endParaRPr>
                        </a:p>
                        <a:p>
                          <a:pPr algn="r" defTabSz="966788">
                            <a:defRPr/>
                          </a:pPr>
                          <a:endParaRPr lang="en-US" sz="1000" b="1" dirty="0">
                            <a:solidFill>
                              <a:schemeClr val="bg1"/>
                            </a:solidFill>
                          </a:endParaRPr>
                        </a:p>
                      </a:txBody>
                      <a:useSpRect/>
                    </a:txSp>
                  </a:sp>
                  <a:sp>
                    <a:nvSpPr>
                      <a:cNvPr id="42" name="Rectangle 41"/>
                      <a:cNvSpPr>
                        <a:spLocks noChangeArrowheads="1"/>
                      </a:cNvSpPr>
                    </a:nvSpPr>
                    <a:spPr bwMode="auto">
                      <a:xfrm>
                        <a:off x="4651507" y="2984553"/>
                        <a:ext cx="1544638" cy="887412"/>
                      </a:xfrm>
                      <a:prstGeom prst="rect">
                        <a:avLst/>
                      </a:prstGeom>
                      <a:gradFill rotWithShape="1">
                        <a:gsLst>
                          <a:gs pos="0">
                            <a:srgbClr val="FF9900">
                              <a:gamma/>
                              <a:shade val="46275"/>
                              <a:invGamma/>
                            </a:srgbClr>
                          </a:gs>
                          <a:gs pos="100000">
                            <a:srgbClr val="FF9900"/>
                          </a:gs>
                        </a:gsLst>
                        <a:lin ang="5400000" scaled="1"/>
                      </a:gradFill>
                      <a:ln w="12700" algn="ctr">
                        <a:noFill/>
                        <a:miter lim="800000"/>
                        <a:headEnd type="none" w="sm" len="sm"/>
                        <a:tailEnd type="none" w="sm" len="sm"/>
                      </a:ln>
                      <a:effectLst>
                        <a:outerShdw dist="107763" dir="2700000" algn="ctr" rotWithShape="0">
                          <a:schemeClr val="bg2">
                            <a:alpha val="50000"/>
                          </a:schemeClr>
                        </a:outerShdw>
                      </a:effectLst>
                    </a:spPr>
                    <a:txSp>
                      <a:txBody>
                        <a:bodyPr wrap="none" lIns="96661" tIns="48331" rIns="96661" bIns="48331"/>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lgn="r" defTabSz="966788">
                            <a:defRPr/>
                          </a:pPr>
                          <a:endParaRPr lang="en-US" sz="1000" b="1" dirty="0">
                            <a:solidFill>
                              <a:schemeClr val="bg1"/>
                            </a:solidFill>
                          </a:endParaRPr>
                        </a:p>
                      </a:txBody>
                      <a:useSpRect/>
                    </a:txSp>
                  </a:sp>
                  <a:sp>
                    <a:nvSpPr>
                      <a:cNvPr id="43" name="Rectangle 42"/>
                      <a:cNvSpPr>
                        <a:spLocks noChangeArrowheads="1"/>
                      </a:cNvSpPr>
                    </a:nvSpPr>
                    <a:spPr bwMode="auto">
                      <a:xfrm>
                        <a:off x="4645157" y="1947915"/>
                        <a:ext cx="1530350" cy="917575"/>
                      </a:xfrm>
                      <a:prstGeom prst="rect">
                        <a:avLst/>
                      </a:prstGeom>
                      <a:gradFill rotWithShape="1">
                        <a:gsLst>
                          <a:gs pos="0">
                            <a:srgbClr val="FF9900">
                              <a:gamma/>
                              <a:shade val="46275"/>
                              <a:invGamma/>
                            </a:srgbClr>
                          </a:gs>
                          <a:gs pos="100000">
                            <a:srgbClr val="FF9900"/>
                          </a:gs>
                        </a:gsLst>
                        <a:lin ang="5400000" scaled="1"/>
                      </a:gradFill>
                      <a:ln w="12700" algn="ctr">
                        <a:noFill/>
                        <a:miter lim="800000"/>
                        <a:headEnd type="none" w="sm" len="sm"/>
                        <a:tailEnd type="none" w="sm" len="sm"/>
                      </a:ln>
                      <a:effectLst>
                        <a:outerShdw dist="107763" dir="2700000" algn="ctr" rotWithShape="0">
                          <a:schemeClr val="bg2">
                            <a:alpha val="50000"/>
                          </a:schemeClr>
                        </a:outerShdw>
                      </a:effectLst>
                    </a:spPr>
                    <a:txSp>
                      <a:txBody>
                        <a:bodyPr wrap="none" lIns="96661" tIns="48331" rIns="96661" bIns="48331"/>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lgn="r" defTabSz="966788">
                            <a:buNone/>
                            <a:defRPr/>
                          </a:pPr>
                          <a:endParaRPr lang="en-US" sz="1000" b="1" dirty="0"/>
                        </a:p>
                      </a:txBody>
                      <a:useSpRect/>
                    </a:txSp>
                  </a:sp>
                  <a:sp>
                    <a:nvSpPr>
                      <a:cNvPr id="44" name="Rectangle 43"/>
                      <a:cNvSpPr>
                        <a:spLocks noChangeArrowheads="1"/>
                      </a:cNvSpPr>
                    </a:nvSpPr>
                    <a:spPr bwMode="auto">
                      <a:xfrm>
                        <a:off x="2830645" y="1947916"/>
                        <a:ext cx="1681162" cy="935038"/>
                      </a:xfrm>
                      <a:prstGeom prst="rect">
                        <a:avLst/>
                      </a:prstGeom>
                      <a:gradFill rotWithShape="1">
                        <a:gsLst>
                          <a:gs pos="0">
                            <a:srgbClr val="FF9900">
                              <a:gamma/>
                              <a:shade val="46275"/>
                              <a:invGamma/>
                            </a:srgbClr>
                          </a:gs>
                          <a:gs pos="100000">
                            <a:srgbClr val="FF9900"/>
                          </a:gs>
                        </a:gsLst>
                        <a:lin ang="5400000" scaled="1"/>
                      </a:gradFill>
                      <a:ln w="12700" algn="ctr">
                        <a:noFill/>
                        <a:miter lim="800000"/>
                        <a:headEnd type="none" w="sm" len="sm"/>
                        <a:tailEnd type="none" w="sm" len="sm"/>
                      </a:ln>
                      <a:effectLst>
                        <a:outerShdw dist="107763" dir="2700000" algn="ctr" rotWithShape="0">
                          <a:schemeClr val="bg2">
                            <a:alpha val="50000"/>
                          </a:schemeClr>
                        </a:outerShdw>
                      </a:effectLst>
                    </a:spPr>
                    <a:txSp>
                      <a:txBody>
                        <a:bodyPr wrap="none" lIns="96661" tIns="48331" rIns="96661" bIns="48331"/>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lgn="r" defTabSz="966788">
                            <a:buNone/>
                            <a:defRPr/>
                          </a:pPr>
                          <a:endParaRPr lang="en-US" sz="1000" b="1" dirty="0">
                            <a:solidFill>
                              <a:schemeClr val="bg1"/>
                            </a:solidFill>
                          </a:endParaRPr>
                        </a:p>
                      </a:txBody>
                      <a:useSpRect/>
                    </a:txSp>
                  </a:sp>
                  <a:sp>
                    <a:nvSpPr>
                      <a:cNvPr id="46" name="Rectangle 45"/>
                      <a:cNvSpPr>
                        <a:spLocks noChangeArrowheads="1"/>
                      </a:cNvSpPr>
                    </a:nvSpPr>
                    <a:spPr bwMode="auto">
                      <a:xfrm>
                        <a:off x="2849695" y="2989315"/>
                        <a:ext cx="1660525" cy="889000"/>
                      </a:xfrm>
                      <a:prstGeom prst="rect">
                        <a:avLst/>
                      </a:prstGeom>
                      <a:gradFill rotWithShape="1">
                        <a:gsLst>
                          <a:gs pos="0">
                            <a:srgbClr val="FF9900">
                              <a:gamma/>
                              <a:shade val="46275"/>
                              <a:invGamma/>
                            </a:srgbClr>
                          </a:gs>
                          <a:gs pos="100000">
                            <a:srgbClr val="FF9900"/>
                          </a:gs>
                        </a:gsLst>
                        <a:lin ang="5400000" scaled="1"/>
                      </a:gradFill>
                      <a:ln w="12700" algn="ctr">
                        <a:noFill/>
                        <a:miter lim="800000"/>
                        <a:headEnd type="none" w="sm" len="sm"/>
                        <a:tailEnd type="none" w="sm" len="sm"/>
                      </a:ln>
                      <a:effectLst>
                        <a:outerShdw dist="107763" dir="2700000" algn="ctr" rotWithShape="0">
                          <a:schemeClr val="bg2">
                            <a:alpha val="50000"/>
                          </a:schemeClr>
                        </a:outerShdw>
                      </a:effectLst>
                    </a:spPr>
                    <a:txSp>
                      <a:txBody>
                        <a:bodyPr wrap="none" lIns="96661" tIns="48331" rIns="96661" bIns="48331"/>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lgn="r" defTabSz="966788">
                            <a:buNone/>
                            <a:defRPr/>
                          </a:pPr>
                          <a:endParaRPr lang="en-US" sz="1000" b="1" dirty="0">
                            <a:solidFill>
                              <a:schemeClr val="bg1"/>
                            </a:solidFill>
                          </a:endParaRPr>
                        </a:p>
                      </a:txBody>
                      <a:useSpRect/>
                    </a:txSp>
                  </a:sp>
                  <a:sp>
                    <a:nvSpPr>
                      <a:cNvPr id="47" name="Text Box 23"/>
                      <a:cNvSpPr txBox="1">
                        <a:spLocks noChangeArrowheads="1"/>
                      </a:cNvSpPr>
                    </a:nvSpPr>
                    <a:spPr bwMode="auto">
                      <a:xfrm>
                        <a:off x="3618432" y="4118714"/>
                        <a:ext cx="2413748" cy="291495"/>
                      </a:xfrm>
                      <a:prstGeom prst="rect">
                        <a:avLst/>
                      </a:prstGeom>
                      <a:noFill/>
                      <a:ln w="9525">
                        <a:noFill/>
                        <a:miter lim="800000"/>
                        <a:headEnd/>
                        <a:tailEnd/>
                      </a:ln>
                    </a:spPr>
                    <a:txSp>
                      <a:txBody>
                        <a:bodyPr wrap="none" lIns="96652" tIns="48326" rIns="96652" bIns="48326">
                          <a:spAutoFit/>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lgn="ctr" defTabSz="966788">
                            <a:buNone/>
                          </a:pPr>
                          <a:r>
                            <a:rPr lang="en-US" sz="1400" b="1" dirty="0" smtClean="0">
                              <a:solidFill>
                                <a:schemeClr val="accent1">
                                  <a:lumMod val="50000"/>
                                </a:schemeClr>
                              </a:solidFill>
                              <a:cs typeface="Arial" charset="0"/>
                            </a:rPr>
                            <a:t>Campus / Regional Chairs</a:t>
                          </a:r>
                          <a:endParaRPr lang="en-US" sz="1400" b="1" dirty="0">
                            <a:solidFill>
                              <a:schemeClr val="accent1">
                                <a:lumMod val="50000"/>
                              </a:schemeClr>
                            </a:solidFill>
                            <a:cs typeface="Arial" charset="0"/>
                          </a:endParaRPr>
                        </a:p>
                      </a:txBody>
                      <a:useSpRect/>
                    </a:txSp>
                  </a:sp>
                  <a:sp>
                    <a:nvSpPr>
                      <a:cNvPr id="50" name="TextBox 49"/>
                      <a:cNvSpPr txBox="1"/>
                    </a:nvSpPr>
                    <a:spPr>
                      <a:xfrm>
                        <a:off x="3644883" y="2154315"/>
                        <a:ext cx="840088" cy="230832"/>
                      </a:xfrm>
                      <a:prstGeom prst="rect">
                        <a:avLst/>
                      </a:prstGeom>
                      <a:noFill/>
                    </a:spPr>
                    <a:txSp>
                      <a:txBody>
                        <a:bodyPr wrap="square" rtlCol="0">
                          <a:spAutoFit/>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buNone/>
                          </a:pPr>
                          <a:r>
                            <a:rPr lang="en-US" sz="1000" b="1" dirty="0" smtClean="0">
                              <a:solidFill>
                                <a:schemeClr val="bg1"/>
                              </a:solidFill>
                            </a:rPr>
                            <a:t>Secretary</a:t>
                          </a:r>
                          <a:endParaRPr lang="en-US" sz="1000" b="1" dirty="0">
                            <a:solidFill>
                              <a:schemeClr val="bg1"/>
                            </a:solidFill>
                          </a:endParaRPr>
                        </a:p>
                      </a:txBody>
                      <a:useSpRect/>
                    </a:txSp>
                  </a:sp>
                  <a:sp>
                    <a:nvSpPr>
                      <a:cNvPr id="52" name="TextBox 51"/>
                      <a:cNvSpPr txBox="1"/>
                    </a:nvSpPr>
                    <a:spPr>
                      <a:xfrm>
                        <a:off x="1793412" y="3197184"/>
                        <a:ext cx="937071" cy="369332"/>
                      </a:xfrm>
                      <a:prstGeom prst="rect">
                        <a:avLst/>
                      </a:prstGeom>
                      <a:noFill/>
                    </a:spPr>
                    <a:txSp>
                      <a:txBody>
                        <a:bodyPr wrap="square" rtlCol="0">
                          <a:spAutoFit/>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buNone/>
                          </a:pPr>
                          <a:r>
                            <a:rPr lang="en-US" sz="1000" b="1" dirty="0" smtClean="0">
                              <a:solidFill>
                                <a:schemeClr val="bg1"/>
                              </a:solidFill>
                            </a:rPr>
                            <a:t>Awards &amp; Recognition</a:t>
                          </a:r>
                          <a:endParaRPr lang="en-US" sz="1000" b="1" dirty="0">
                            <a:solidFill>
                              <a:schemeClr val="bg1"/>
                            </a:solidFill>
                          </a:endParaRPr>
                        </a:p>
                      </a:txBody>
                      <a:useSpRect/>
                    </a:txSp>
                  </a:sp>
                  <a:sp>
                    <a:nvSpPr>
                      <a:cNvPr id="57" name="TextBox 56"/>
                      <a:cNvSpPr txBox="1"/>
                    </a:nvSpPr>
                    <a:spPr>
                      <a:xfrm>
                        <a:off x="5376700" y="3183330"/>
                        <a:ext cx="808601" cy="369332"/>
                      </a:xfrm>
                      <a:prstGeom prst="rect">
                        <a:avLst/>
                      </a:prstGeom>
                      <a:noFill/>
                    </a:spPr>
                    <a:txSp>
                      <a:txBody>
                        <a:bodyPr wrap="square" rtlCol="0">
                          <a:spAutoFit/>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buNone/>
                          </a:pPr>
                          <a:r>
                            <a:rPr lang="en-US" sz="1000" b="1" dirty="0" smtClean="0">
                              <a:solidFill>
                                <a:schemeClr val="bg1"/>
                              </a:solidFill>
                            </a:rPr>
                            <a:t>Strategic Planning</a:t>
                          </a:r>
                          <a:endParaRPr lang="en-US" sz="1000" b="1" dirty="0">
                            <a:solidFill>
                              <a:schemeClr val="bg1"/>
                            </a:solidFill>
                          </a:endParaRPr>
                        </a:p>
                      </a:txBody>
                      <a:useSpRect/>
                    </a:txSp>
                  </a:sp>
                  <a:sp>
                    <a:nvSpPr>
                      <a:cNvPr id="61" name="Rectangle 60"/>
                      <a:cNvSpPr/>
                    </a:nvSpPr>
                    <a:spPr bwMode="auto">
                      <a:xfrm>
                        <a:off x="4762002" y="2053712"/>
                        <a:ext cx="559220" cy="725475"/>
                      </a:xfrm>
                      <a:prstGeom prst="rect">
                        <a:avLst/>
                      </a:prstGeom>
                      <a:solidFill>
                        <a:schemeClr val="tx1"/>
                      </a:solidFill>
                      <a:ln w="9525" cap="flat" cmpd="sng" algn="ctr">
                        <a:noFill/>
                        <a:prstDash val="solid"/>
                        <a:round/>
                        <a:headEnd type="none" w="med" len="med"/>
                        <a:tailEnd type="none" w="med" len="med"/>
                      </a:ln>
                      <a:effectLst/>
                    </a:spPr>
                    <a:txSp>
                      <a:txBody>
                        <a:bodyPr vert="horz" wrap="square" lIns="91440" tIns="45720" rIns="91440" bIns="45720" numCol="1" rtlCol="0" anchor="t" anchorCtr="0" compatLnSpc="1">
                          <a:prstTxWarp prst="textNoShape">
                            <a:avLst/>
                          </a:prstTxWarp>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marL="1582738" marR="0" indent="-381000" algn="l" defTabSz="966788" rtl="0" eaLnBrk="1" fontAlgn="base" latinLnBrk="0" hangingPunct="1">
                            <a:lnSpc>
                              <a:spcPct val="90000"/>
                            </a:lnSpc>
                            <a:spcBef>
                              <a:spcPct val="20000"/>
                            </a:spcBef>
                            <a:spcAft>
                              <a:spcPct val="50000"/>
                            </a:spcAft>
                            <a:buClr>
                              <a:srgbClr val="990000"/>
                            </a:buClr>
                            <a:buSzTx/>
                            <a:buFont typeface="Wingdings" pitchFamily="2" charset="2"/>
                            <a:buChar char="Ø"/>
                            <a:tabLst/>
                          </a:pPr>
                          <a:endParaRPr kumimoji="0" lang="en-US" sz="1600" b="0" i="0" u="none" strike="noStrike" cap="none" normalizeH="0" baseline="0" dirty="0" smtClean="0">
                            <a:ln>
                              <a:noFill/>
                            </a:ln>
                            <a:solidFill>
                              <a:schemeClr val="tx1"/>
                            </a:solidFill>
                            <a:effectLst/>
                            <a:latin typeface="Arial" charset="0"/>
                            <a:cs typeface="Arial" charset="0"/>
                          </a:endParaRPr>
                        </a:p>
                      </a:txBody>
                      <a:useSpRect/>
                    </a:txSp>
                  </a:sp>
                  <a:sp>
                    <a:nvSpPr>
                      <a:cNvPr id="63" name="TextBox 62"/>
                      <a:cNvSpPr txBox="1"/>
                    </a:nvSpPr>
                    <a:spPr>
                      <a:xfrm>
                        <a:off x="5414487" y="2148018"/>
                        <a:ext cx="784670" cy="230832"/>
                      </a:xfrm>
                      <a:prstGeom prst="rect">
                        <a:avLst/>
                      </a:prstGeom>
                      <a:noFill/>
                    </a:spPr>
                    <a:txSp>
                      <a:txBody>
                        <a:bodyPr wrap="square" rtlCol="0">
                          <a:spAutoFit/>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buNone/>
                          </a:pPr>
                          <a:r>
                            <a:rPr lang="en-US" sz="1000" b="1" dirty="0" smtClean="0">
                              <a:solidFill>
                                <a:schemeClr val="bg1"/>
                              </a:solidFill>
                            </a:rPr>
                            <a:t>Treasurer</a:t>
                          </a:r>
                          <a:endParaRPr lang="en-US" sz="1000" b="1" dirty="0">
                            <a:solidFill>
                              <a:schemeClr val="bg1"/>
                            </a:solidFill>
                          </a:endParaRPr>
                        </a:p>
                      </a:txBody>
                      <a:useSpRect/>
                    </a:txSp>
                  </a:sp>
                  <a:sp>
                    <a:nvSpPr>
                      <a:cNvPr id="65" name="Rectangle 64"/>
                      <a:cNvSpPr>
                        <a:spLocks noChangeArrowheads="1"/>
                      </a:cNvSpPr>
                    </a:nvSpPr>
                    <a:spPr bwMode="auto">
                      <a:xfrm>
                        <a:off x="2847469" y="958758"/>
                        <a:ext cx="1617663" cy="920750"/>
                      </a:xfrm>
                      <a:prstGeom prst="rect">
                        <a:avLst/>
                      </a:prstGeom>
                      <a:gradFill rotWithShape="1">
                        <a:gsLst>
                          <a:gs pos="0">
                            <a:srgbClr val="FF9900">
                              <a:gamma/>
                              <a:shade val="46275"/>
                              <a:invGamma/>
                            </a:srgbClr>
                          </a:gs>
                          <a:gs pos="100000">
                            <a:srgbClr val="FF9900"/>
                          </a:gs>
                        </a:gsLst>
                        <a:lin ang="5400000" scaled="1"/>
                      </a:gradFill>
                      <a:ln w="12700" algn="ctr">
                        <a:noFill/>
                        <a:miter lim="800000"/>
                        <a:headEnd type="none" w="sm" len="sm"/>
                        <a:tailEnd type="none" w="sm" len="sm"/>
                      </a:ln>
                      <a:effectLst>
                        <a:outerShdw dist="107763" dir="2700000" algn="ctr" rotWithShape="0">
                          <a:schemeClr val="bg2">
                            <a:alpha val="50000"/>
                          </a:schemeClr>
                        </a:outerShdw>
                      </a:effectLst>
                    </a:spPr>
                    <a:txSp>
                      <a:txBody>
                        <a:bodyPr wrap="none" lIns="96661" tIns="48331" rIns="96661" bIns="48331"/>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lgn="r" defTabSz="966788">
                            <a:buNone/>
                            <a:defRPr/>
                          </a:pPr>
                          <a:endParaRPr lang="en-US" sz="1000" b="1" dirty="0">
                            <a:solidFill>
                              <a:schemeClr val="bg1"/>
                            </a:solidFill>
                          </a:endParaRPr>
                        </a:p>
                      </a:txBody>
                      <a:useSpRect/>
                    </a:txSp>
                  </a:sp>
                  <a:sp>
                    <a:nvSpPr>
                      <a:cNvPr id="66" name="TextBox 65"/>
                      <a:cNvSpPr txBox="1"/>
                    </a:nvSpPr>
                    <a:spPr>
                      <a:xfrm>
                        <a:off x="3712688" y="1259724"/>
                        <a:ext cx="627233" cy="230832"/>
                      </a:xfrm>
                      <a:prstGeom prst="rect">
                        <a:avLst/>
                      </a:prstGeom>
                      <a:noFill/>
                    </a:spPr>
                    <a:txSp>
                      <a:txBody>
                        <a:bodyPr wrap="square" rtlCol="0">
                          <a:spAutoFit/>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buNone/>
                          </a:pPr>
                          <a:r>
                            <a:rPr lang="en-US" sz="1000" b="1" dirty="0" smtClean="0">
                              <a:solidFill>
                                <a:schemeClr val="bg1"/>
                              </a:solidFill>
                            </a:rPr>
                            <a:t>Chair</a:t>
                          </a:r>
                          <a:endParaRPr lang="en-US" sz="1000" b="1" dirty="0">
                            <a:solidFill>
                              <a:schemeClr val="bg1"/>
                            </a:solidFill>
                          </a:endParaRPr>
                        </a:p>
                      </a:txBody>
                      <a:useSpRect/>
                    </a:txSp>
                  </a:sp>
                  <a:sp>
                    <a:nvSpPr>
                      <a:cNvPr id="68" name="Rectangle 67"/>
                      <a:cNvSpPr/>
                    </a:nvSpPr>
                    <a:spPr bwMode="auto">
                      <a:xfrm>
                        <a:off x="2896614" y="1058704"/>
                        <a:ext cx="559220" cy="725475"/>
                      </a:xfrm>
                      <a:prstGeom prst="rect">
                        <a:avLst/>
                      </a:prstGeom>
                      <a:solidFill>
                        <a:schemeClr val="tx1"/>
                      </a:solidFill>
                      <a:ln w="9525" cap="flat" cmpd="sng" algn="ctr">
                        <a:noFill/>
                        <a:prstDash val="solid"/>
                        <a:round/>
                        <a:headEnd type="none" w="med" len="med"/>
                        <a:tailEnd type="none" w="med" len="med"/>
                      </a:ln>
                      <a:effectLst/>
                    </a:spPr>
                    <a:txSp>
                      <a:txBody>
                        <a:bodyPr vert="horz" wrap="square" lIns="91440" tIns="45720" rIns="91440" bIns="45720" numCol="1" rtlCol="0" anchor="t" anchorCtr="0" compatLnSpc="1">
                          <a:prstTxWarp prst="textNoShape">
                            <a:avLst/>
                          </a:prstTxWarp>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marL="1582738" marR="0" indent="-381000" algn="l" defTabSz="966788" rtl="0" eaLnBrk="1" fontAlgn="base" latinLnBrk="0" hangingPunct="1">
                            <a:lnSpc>
                              <a:spcPct val="90000"/>
                            </a:lnSpc>
                            <a:spcBef>
                              <a:spcPct val="20000"/>
                            </a:spcBef>
                            <a:spcAft>
                              <a:spcPct val="50000"/>
                            </a:spcAft>
                            <a:buClr>
                              <a:srgbClr val="990000"/>
                            </a:buClr>
                            <a:buSzTx/>
                            <a:buFont typeface="Wingdings" pitchFamily="2" charset="2"/>
                            <a:buChar char="Ø"/>
                            <a:tabLst/>
                          </a:pPr>
                          <a:endParaRPr kumimoji="0" lang="en-US" sz="1600" b="0" i="0" u="none" strike="noStrike" cap="none" normalizeH="0" baseline="0" dirty="0" smtClean="0">
                            <a:ln>
                              <a:noFill/>
                            </a:ln>
                            <a:solidFill>
                              <a:schemeClr val="tx1"/>
                            </a:solidFill>
                            <a:effectLst/>
                            <a:latin typeface="Arial" charset="0"/>
                            <a:cs typeface="Arial" charset="0"/>
                          </a:endParaRPr>
                        </a:p>
                      </a:txBody>
                      <a:useSpRect/>
                    </a:txSp>
                  </a:sp>
                  <a:sp>
                    <a:nvSpPr>
                      <a:cNvPr id="71" name="Rectangle 70"/>
                      <a:cNvSpPr/>
                    </a:nvSpPr>
                    <a:spPr bwMode="auto">
                      <a:xfrm>
                        <a:off x="2964690" y="2032301"/>
                        <a:ext cx="560479" cy="802304"/>
                      </a:xfrm>
                      <a:prstGeom prst="rect">
                        <a:avLst/>
                      </a:prstGeom>
                      <a:solidFill>
                        <a:schemeClr val="tx1"/>
                      </a:solidFill>
                      <a:ln w="9525" cap="flat" cmpd="sng" algn="ctr">
                        <a:noFill/>
                        <a:prstDash val="solid"/>
                        <a:round/>
                        <a:headEnd type="none" w="med" len="med"/>
                        <a:tailEnd type="none" w="med" len="med"/>
                      </a:ln>
                      <a:effectLst/>
                    </a:spPr>
                    <a:txSp>
                      <a:txBody>
                        <a:bodyPr vert="horz" wrap="square" lIns="91440" tIns="45720" rIns="91440" bIns="45720" numCol="1" rtlCol="0" anchor="t" anchorCtr="0" compatLnSpc="1">
                          <a:prstTxWarp prst="textNoShape">
                            <a:avLst/>
                          </a:prstTxWarp>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marL="1582738" marR="0" indent="-381000" algn="l" defTabSz="966788" rtl="0" eaLnBrk="1" fontAlgn="base" latinLnBrk="0" hangingPunct="1">
                            <a:lnSpc>
                              <a:spcPct val="90000"/>
                            </a:lnSpc>
                            <a:spcBef>
                              <a:spcPct val="20000"/>
                            </a:spcBef>
                            <a:spcAft>
                              <a:spcPct val="50000"/>
                            </a:spcAft>
                            <a:buClr>
                              <a:srgbClr val="990000"/>
                            </a:buClr>
                            <a:buSzTx/>
                            <a:buFont typeface="Wingdings" pitchFamily="2" charset="2"/>
                            <a:buChar char="Ø"/>
                            <a:tabLst/>
                          </a:pPr>
                          <a:endParaRPr kumimoji="0" lang="en-US" sz="1600" b="0" i="0" u="none" strike="noStrike" cap="none" normalizeH="0" baseline="0" dirty="0" smtClean="0">
                            <a:ln>
                              <a:noFill/>
                            </a:ln>
                            <a:solidFill>
                              <a:schemeClr val="tx1"/>
                            </a:solidFill>
                            <a:effectLst/>
                            <a:latin typeface="Arial" charset="0"/>
                            <a:cs typeface="Arial" charset="0"/>
                          </a:endParaRPr>
                        </a:p>
                      </a:txBody>
                      <a:useSpRect/>
                    </a:txSp>
                  </a:sp>
                  <a:sp>
                    <a:nvSpPr>
                      <a:cNvPr id="78" name="Rectangle 77"/>
                      <a:cNvSpPr>
                        <a:spLocks noChangeArrowheads="1"/>
                      </a:cNvSpPr>
                    </a:nvSpPr>
                    <a:spPr bwMode="auto">
                      <a:xfrm>
                        <a:off x="1087552" y="1945947"/>
                        <a:ext cx="1681162" cy="935038"/>
                      </a:xfrm>
                      <a:prstGeom prst="rect">
                        <a:avLst/>
                      </a:prstGeom>
                      <a:gradFill rotWithShape="1">
                        <a:gsLst>
                          <a:gs pos="0">
                            <a:srgbClr val="FF9900">
                              <a:gamma/>
                              <a:shade val="46275"/>
                              <a:invGamma/>
                            </a:srgbClr>
                          </a:gs>
                          <a:gs pos="100000">
                            <a:srgbClr val="FF9900"/>
                          </a:gs>
                        </a:gsLst>
                        <a:lin ang="5400000" scaled="1"/>
                      </a:gradFill>
                      <a:ln w="12700" algn="ctr">
                        <a:noFill/>
                        <a:miter lim="800000"/>
                        <a:headEnd type="none" w="sm" len="sm"/>
                        <a:tailEnd type="none" w="sm" len="sm"/>
                      </a:ln>
                      <a:effectLst>
                        <a:outerShdw dist="107763" dir="2700000" algn="ctr" rotWithShape="0">
                          <a:schemeClr val="bg2">
                            <a:alpha val="50000"/>
                          </a:schemeClr>
                        </a:outerShdw>
                      </a:effectLst>
                    </a:spPr>
                    <a:txSp>
                      <a:txBody>
                        <a:bodyPr wrap="none" lIns="96661" tIns="48331" rIns="96661" bIns="48331"/>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lgn="r" defTabSz="966788">
                            <a:buNone/>
                            <a:defRPr/>
                          </a:pPr>
                          <a:endParaRPr lang="en-US" sz="1000" b="1" dirty="0">
                            <a:solidFill>
                              <a:schemeClr val="bg1"/>
                            </a:solidFill>
                          </a:endParaRPr>
                        </a:p>
                      </a:txBody>
                      <a:useSpRect/>
                    </a:txSp>
                  </a:sp>
                  <a:sp>
                    <a:nvSpPr>
                      <a:cNvPr id="79" name="TextBox 78"/>
                      <a:cNvSpPr txBox="1"/>
                    </a:nvSpPr>
                    <a:spPr>
                      <a:xfrm>
                        <a:off x="1901790" y="2152346"/>
                        <a:ext cx="840088" cy="230832"/>
                      </a:xfrm>
                      <a:prstGeom prst="rect">
                        <a:avLst/>
                      </a:prstGeom>
                      <a:noFill/>
                    </a:spPr>
                    <a:txSp>
                      <a:txBody>
                        <a:bodyPr wrap="square" rtlCol="0">
                          <a:spAutoFit/>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buNone/>
                          </a:pPr>
                          <a:r>
                            <a:rPr lang="en-US" sz="1000" b="1" dirty="0" smtClean="0">
                              <a:solidFill>
                                <a:schemeClr val="bg1"/>
                              </a:solidFill>
                            </a:rPr>
                            <a:t>Vice Chair</a:t>
                          </a:r>
                          <a:endParaRPr lang="en-US" sz="1000" b="1" dirty="0">
                            <a:solidFill>
                              <a:schemeClr val="bg1"/>
                            </a:solidFill>
                          </a:endParaRPr>
                        </a:p>
                      </a:txBody>
                      <a:useSpRect/>
                    </a:txSp>
                  </a:sp>
                  <a:sp>
                    <a:nvSpPr>
                      <a:cNvPr id="83" name="TextBox 82"/>
                      <a:cNvSpPr txBox="1"/>
                    </a:nvSpPr>
                    <a:spPr>
                      <a:xfrm>
                        <a:off x="3396760" y="3338090"/>
                        <a:ext cx="1216681" cy="230832"/>
                      </a:xfrm>
                      <a:prstGeom prst="rect">
                        <a:avLst/>
                      </a:prstGeom>
                      <a:noFill/>
                    </a:spPr>
                    <a:txSp>
                      <a:txBody>
                        <a:bodyPr wrap="square" rtlCol="0">
                          <a:spAutoFit/>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buNone/>
                          </a:pPr>
                          <a:r>
                            <a:rPr lang="en-US" sz="1000" b="1" dirty="0" smtClean="0">
                              <a:solidFill>
                                <a:schemeClr val="bg1"/>
                              </a:solidFill>
                            </a:rPr>
                            <a:t>Communications</a:t>
                          </a:r>
                          <a:endParaRPr lang="en-US" sz="1000" b="1" dirty="0">
                            <a:solidFill>
                              <a:schemeClr val="bg1"/>
                            </a:solidFill>
                          </a:endParaRPr>
                        </a:p>
                      </a:txBody>
                      <a:useSpRect/>
                    </a:txSp>
                  </a:sp>
                  <a:sp>
                    <a:nvSpPr>
                      <a:cNvPr id="85" name="Rectangle 26"/>
                      <a:cNvSpPr>
                        <a:spLocks noChangeArrowheads="1"/>
                      </a:cNvSpPr>
                    </a:nvSpPr>
                    <a:spPr bwMode="auto">
                      <a:xfrm>
                        <a:off x="1219887" y="4402261"/>
                        <a:ext cx="1066800" cy="1084263"/>
                      </a:xfrm>
                      <a:prstGeom prst="rect">
                        <a:avLst/>
                      </a:prstGeom>
                      <a:gradFill rotWithShape="1">
                        <a:gsLst>
                          <a:gs pos="0">
                            <a:srgbClr val="FF9900">
                              <a:gamma/>
                              <a:shade val="46275"/>
                              <a:invGamma/>
                            </a:srgbClr>
                          </a:gs>
                          <a:gs pos="100000">
                            <a:srgbClr val="FF9900"/>
                          </a:gs>
                        </a:gsLst>
                        <a:lin ang="5400000" scaled="1"/>
                      </a:gradFill>
                      <a:ln w="28575">
                        <a:noFill/>
                        <a:miter lim="800000"/>
                        <a:headEnd type="none" w="sm" len="sm"/>
                        <a:tailEnd type="none" w="sm" len="sm"/>
                      </a:ln>
                      <a:effectLst>
                        <a:outerShdw dist="107763" dir="2700000" algn="ctr" rotWithShape="0">
                          <a:schemeClr val="bg2">
                            <a:alpha val="50000"/>
                          </a:schemeClr>
                        </a:outerShdw>
                      </a:effectLst>
                    </a:spPr>
                    <a:txSp>
                      <a:txBody>
                        <a:bodyPr wrap="none" lIns="96661" tIns="48331" rIns="96661" bIns="48331"/>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lgn="ctr" defTabSz="966788">
                            <a:lnSpc>
                              <a:spcPct val="100000"/>
                            </a:lnSpc>
                            <a:spcBef>
                              <a:spcPct val="0"/>
                            </a:spcBef>
                            <a:spcAft>
                              <a:spcPct val="0"/>
                            </a:spcAft>
                            <a:buClrTx/>
                            <a:buFontTx/>
                            <a:buNone/>
                          </a:pPr>
                          <a:r>
                            <a:rPr lang="en-US" sz="1000" b="1" dirty="0" smtClean="0">
                              <a:solidFill>
                                <a:schemeClr val="bg1"/>
                              </a:solidFill>
                            </a:rPr>
                            <a:t>Campus A</a:t>
                          </a:r>
                          <a:endParaRPr lang="en-US" sz="1300" b="1" dirty="0">
                            <a:solidFill>
                              <a:schemeClr val="bg1"/>
                            </a:solidFill>
                          </a:endParaRPr>
                        </a:p>
                      </a:txBody>
                      <a:useSpRect/>
                    </a:txSp>
                  </a:sp>
                  <a:sp>
                    <a:nvSpPr>
                      <a:cNvPr id="87" name="Rectangle 26"/>
                      <a:cNvSpPr>
                        <a:spLocks noChangeArrowheads="1"/>
                      </a:cNvSpPr>
                    </a:nvSpPr>
                    <a:spPr bwMode="auto">
                      <a:xfrm>
                        <a:off x="2535848" y="4419954"/>
                        <a:ext cx="1066800" cy="1084263"/>
                      </a:xfrm>
                      <a:prstGeom prst="rect">
                        <a:avLst/>
                      </a:prstGeom>
                      <a:gradFill rotWithShape="1">
                        <a:gsLst>
                          <a:gs pos="0">
                            <a:srgbClr val="FF9900">
                              <a:gamma/>
                              <a:shade val="46275"/>
                              <a:invGamma/>
                            </a:srgbClr>
                          </a:gs>
                          <a:gs pos="100000">
                            <a:srgbClr val="FF9900"/>
                          </a:gs>
                        </a:gsLst>
                        <a:lin ang="5400000" scaled="1"/>
                      </a:gradFill>
                      <a:ln w="28575">
                        <a:noFill/>
                        <a:miter lim="800000"/>
                        <a:headEnd type="none" w="sm" len="sm"/>
                        <a:tailEnd type="none" w="sm" len="sm"/>
                      </a:ln>
                      <a:effectLst>
                        <a:outerShdw dist="107763" dir="2700000" algn="ctr" rotWithShape="0">
                          <a:schemeClr val="bg2">
                            <a:alpha val="50000"/>
                          </a:schemeClr>
                        </a:outerShdw>
                      </a:effectLst>
                    </a:spPr>
                    <a:txSp>
                      <a:txBody>
                        <a:bodyPr wrap="none" lIns="96661" tIns="48331" rIns="96661" bIns="48331"/>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lgn="ctr" defTabSz="966788">
                            <a:lnSpc>
                              <a:spcPct val="100000"/>
                            </a:lnSpc>
                            <a:spcBef>
                              <a:spcPct val="0"/>
                            </a:spcBef>
                            <a:spcAft>
                              <a:spcPct val="0"/>
                            </a:spcAft>
                            <a:buClrTx/>
                            <a:buFontTx/>
                            <a:buNone/>
                          </a:pPr>
                          <a:r>
                            <a:rPr lang="en-US" sz="1000" b="1" dirty="0" smtClean="0">
                              <a:solidFill>
                                <a:schemeClr val="bg1"/>
                              </a:solidFill>
                            </a:rPr>
                            <a:t>Campus B</a:t>
                          </a:r>
                          <a:endParaRPr lang="en-US" sz="1300" b="1" dirty="0">
                            <a:solidFill>
                              <a:schemeClr val="bg1"/>
                            </a:solidFill>
                          </a:endParaRPr>
                        </a:p>
                      </a:txBody>
                      <a:useSpRect/>
                    </a:txSp>
                  </a:sp>
                  <a:sp>
                    <a:nvSpPr>
                      <a:cNvPr id="91" name="Rectangle 26"/>
                      <a:cNvSpPr>
                        <a:spLocks noChangeArrowheads="1"/>
                      </a:cNvSpPr>
                    </a:nvSpPr>
                    <a:spPr bwMode="auto">
                      <a:xfrm>
                        <a:off x="3845636" y="4419956"/>
                        <a:ext cx="1066800" cy="1084263"/>
                      </a:xfrm>
                      <a:prstGeom prst="rect">
                        <a:avLst/>
                      </a:prstGeom>
                      <a:gradFill rotWithShape="1">
                        <a:gsLst>
                          <a:gs pos="0">
                            <a:srgbClr val="FF9900">
                              <a:gamma/>
                              <a:shade val="46275"/>
                              <a:invGamma/>
                            </a:srgbClr>
                          </a:gs>
                          <a:gs pos="100000">
                            <a:srgbClr val="FF9900"/>
                          </a:gs>
                        </a:gsLst>
                        <a:lin ang="5400000" scaled="1"/>
                      </a:gradFill>
                      <a:ln w="28575">
                        <a:noFill/>
                        <a:miter lim="800000"/>
                        <a:headEnd type="none" w="sm" len="sm"/>
                        <a:tailEnd type="none" w="sm" len="sm"/>
                      </a:ln>
                      <a:effectLst>
                        <a:outerShdw dist="107763" dir="2700000" algn="ctr" rotWithShape="0">
                          <a:schemeClr val="bg2">
                            <a:alpha val="50000"/>
                          </a:schemeClr>
                        </a:outerShdw>
                      </a:effectLst>
                    </a:spPr>
                    <a:txSp>
                      <a:txBody>
                        <a:bodyPr wrap="none" lIns="96661" tIns="48331" rIns="96661" bIns="48331"/>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lgn="ctr" defTabSz="966788">
                            <a:lnSpc>
                              <a:spcPct val="100000"/>
                            </a:lnSpc>
                            <a:spcBef>
                              <a:spcPct val="0"/>
                            </a:spcBef>
                            <a:spcAft>
                              <a:spcPct val="0"/>
                            </a:spcAft>
                            <a:buClrTx/>
                            <a:buFontTx/>
                            <a:buNone/>
                          </a:pPr>
                          <a:r>
                            <a:rPr lang="en-US" sz="1000" b="1" dirty="0" smtClean="0">
                              <a:solidFill>
                                <a:schemeClr val="bg1"/>
                              </a:solidFill>
                            </a:rPr>
                            <a:t>Campus C</a:t>
                          </a:r>
                          <a:endParaRPr lang="en-US" sz="1300" b="1" dirty="0">
                            <a:solidFill>
                              <a:schemeClr val="bg1"/>
                            </a:solidFill>
                          </a:endParaRPr>
                        </a:p>
                      </a:txBody>
                      <a:useSpRect/>
                    </a:txSp>
                  </a:sp>
                  <a:sp>
                    <a:nvSpPr>
                      <a:cNvPr id="93" name="Rectangle 26"/>
                      <a:cNvSpPr>
                        <a:spLocks noChangeArrowheads="1"/>
                      </a:cNvSpPr>
                    </a:nvSpPr>
                    <a:spPr bwMode="auto">
                      <a:xfrm>
                        <a:off x="5152718" y="4419893"/>
                        <a:ext cx="1066800" cy="1084263"/>
                      </a:xfrm>
                      <a:prstGeom prst="rect">
                        <a:avLst/>
                      </a:prstGeom>
                      <a:gradFill rotWithShape="1">
                        <a:gsLst>
                          <a:gs pos="0">
                            <a:srgbClr val="FF9900">
                              <a:gamma/>
                              <a:shade val="46275"/>
                              <a:invGamma/>
                            </a:srgbClr>
                          </a:gs>
                          <a:gs pos="100000">
                            <a:srgbClr val="FF9900"/>
                          </a:gs>
                        </a:gsLst>
                        <a:lin ang="5400000" scaled="1"/>
                      </a:gradFill>
                      <a:ln w="28575">
                        <a:noFill/>
                        <a:miter lim="800000"/>
                        <a:headEnd type="none" w="sm" len="sm"/>
                        <a:tailEnd type="none" w="sm" len="sm"/>
                      </a:ln>
                      <a:effectLst>
                        <a:outerShdw dist="107763" dir="2700000" algn="ctr" rotWithShape="0">
                          <a:schemeClr val="bg2">
                            <a:alpha val="50000"/>
                          </a:schemeClr>
                        </a:outerShdw>
                      </a:effectLst>
                    </a:spPr>
                    <a:txSp>
                      <a:txBody>
                        <a:bodyPr wrap="none" lIns="96661" tIns="48331" rIns="96661" bIns="48331"/>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lgn="ctr" defTabSz="966788">
                            <a:lnSpc>
                              <a:spcPct val="100000"/>
                            </a:lnSpc>
                            <a:spcBef>
                              <a:spcPct val="0"/>
                            </a:spcBef>
                            <a:spcAft>
                              <a:spcPct val="0"/>
                            </a:spcAft>
                            <a:buClrTx/>
                            <a:buFontTx/>
                            <a:buNone/>
                          </a:pPr>
                          <a:r>
                            <a:rPr lang="en-US" sz="1000" b="1" dirty="0" smtClean="0">
                              <a:solidFill>
                                <a:schemeClr val="bg1"/>
                              </a:solidFill>
                            </a:rPr>
                            <a:t>Campus D</a:t>
                          </a:r>
                          <a:endParaRPr lang="en-US" sz="1300" b="1" dirty="0">
                            <a:solidFill>
                              <a:schemeClr val="bg1"/>
                            </a:solidFill>
                          </a:endParaRPr>
                        </a:p>
                      </a:txBody>
                      <a:useSpRect/>
                    </a:txSp>
                  </a:sp>
                  <a:sp>
                    <a:nvSpPr>
                      <a:cNvPr id="133" name="Rectangle 132"/>
                      <a:cNvSpPr>
                        <a:spLocks noChangeArrowheads="1"/>
                      </a:cNvSpPr>
                    </a:nvSpPr>
                    <a:spPr bwMode="auto">
                      <a:xfrm>
                        <a:off x="6360902" y="615039"/>
                        <a:ext cx="2524125" cy="3434551"/>
                      </a:xfrm>
                      <a:prstGeom prst="rect">
                        <a:avLst/>
                      </a:prstGeom>
                      <a:solidFill>
                        <a:srgbClr val="FFECB2"/>
                      </a:solidFill>
                      <a:ln w="12700" algn="ctr">
                        <a:solidFill>
                          <a:schemeClr val="tx1"/>
                        </a:solidFill>
                        <a:miter lim="800000"/>
                        <a:headEnd/>
                        <a:tailEnd/>
                      </a:ln>
                    </a:spPr>
                    <a:txSp>
                      <a:txBody>
                        <a:bodyPr wrap="none" lIns="102180" tIns="51090" rIns="102180" bIns="51090" anchor="ct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endParaRPr lang="en-US" dirty="0"/>
                        </a:p>
                      </a:txBody>
                      <a:useSpRect/>
                    </a:txSp>
                  </a:sp>
                  <a:sp>
                    <a:nvSpPr>
                      <a:cNvPr id="137" name="Text Box 11"/>
                      <a:cNvSpPr txBox="1">
                        <a:spLocks noChangeArrowheads="1"/>
                      </a:cNvSpPr>
                    </a:nvSpPr>
                    <a:spPr bwMode="auto">
                      <a:xfrm>
                        <a:off x="6760062" y="629327"/>
                        <a:ext cx="1562297" cy="291495"/>
                      </a:xfrm>
                      <a:prstGeom prst="rect">
                        <a:avLst/>
                      </a:prstGeom>
                      <a:noFill/>
                      <a:ln w="9525">
                        <a:noFill/>
                        <a:miter lim="800000"/>
                        <a:headEnd/>
                        <a:tailEnd/>
                      </a:ln>
                    </a:spPr>
                    <a:txSp>
                      <a:txBody>
                        <a:bodyPr wrap="none" lIns="96652" tIns="48326" rIns="96652" bIns="48326">
                          <a:spAutoFit/>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lgn="ctr" defTabSz="966788">
                            <a:buNone/>
                          </a:pPr>
                          <a:r>
                            <a:rPr lang="en-US" sz="1400" b="1" dirty="0" smtClean="0">
                              <a:solidFill>
                                <a:schemeClr val="accent1">
                                  <a:lumMod val="50000"/>
                                </a:schemeClr>
                              </a:solidFill>
                              <a:cs typeface="Arial" charset="0"/>
                            </a:rPr>
                            <a:t>Sector Advisory</a:t>
                          </a:r>
                          <a:endParaRPr lang="en-US" sz="1400" b="1" dirty="0">
                            <a:solidFill>
                              <a:schemeClr val="accent1">
                                <a:lumMod val="50000"/>
                              </a:schemeClr>
                            </a:solidFill>
                            <a:cs typeface="Arial" charset="0"/>
                          </a:endParaRPr>
                        </a:p>
                      </a:txBody>
                      <a:useSpRect/>
                    </a:txSp>
                  </a:sp>
                  <a:sp>
                    <a:nvSpPr>
                      <a:cNvPr id="139" name="Rectangle 26"/>
                      <a:cNvSpPr>
                        <a:spLocks noChangeArrowheads="1"/>
                      </a:cNvSpPr>
                    </a:nvSpPr>
                    <a:spPr bwMode="auto">
                      <a:xfrm>
                        <a:off x="6441461" y="4421373"/>
                        <a:ext cx="1066800" cy="1084263"/>
                      </a:xfrm>
                      <a:prstGeom prst="rect">
                        <a:avLst/>
                      </a:prstGeom>
                      <a:gradFill rotWithShape="1">
                        <a:gsLst>
                          <a:gs pos="0">
                            <a:srgbClr val="FF9900">
                              <a:gamma/>
                              <a:shade val="46275"/>
                              <a:invGamma/>
                            </a:srgbClr>
                          </a:gs>
                          <a:gs pos="100000">
                            <a:srgbClr val="FF9900"/>
                          </a:gs>
                        </a:gsLst>
                        <a:lin ang="5400000" scaled="1"/>
                      </a:gradFill>
                      <a:ln w="28575">
                        <a:noFill/>
                        <a:miter lim="800000"/>
                        <a:headEnd type="none" w="sm" len="sm"/>
                        <a:tailEnd type="none" w="sm" len="sm"/>
                      </a:ln>
                      <a:effectLst>
                        <a:outerShdw dist="107763" dir="2700000" algn="ctr" rotWithShape="0">
                          <a:schemeClr val="bg2">
                            <a:alpha val="50000"/>
                          </a:schemeClr>
                        </a:outerShdw>
                      </a:effectLst>
                    </a:spPr>
                    <a:txSp>
                      <a:txBody>
                        <a:bodyPr wrap="none" lIns="96661" tIns="48331" rIns="96661" bIns="48331"/>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lgn="ctr" defTabSz="966788">
                            <a:lnSpc>
                              <a:spcPct val="100000"/>
                            </a:lnSpc>
                            <a:spcBef>
                              <a:spcPct val="0"/>
                            </a:spcBef>
                            <a:spcAft>
                              <a:spcPct val="0"/>
                            </a:spcAft>
                            <a:buClrTx/>
                            <a:buFontTx/>
                            <a:buNone/>
                          </a:pPr>
                          <a:r>
                            <a:rPr lang="en-US" sz="1000" b="1" dirty="0" smtClean="0">
                              <a:solidFill>
                                <a:schemeClr val="bg1"/>
                              </a:solidFill>
                            </a:rPr>
                            <a:t>Campus E</a:t>
                          </a:r>
                          <a:endParaRPr lang="en-US" sz="1300" b="1" dirty="0">
                            <a:solidFill>
                              <a:schemeClr val="bg1"/>
                            </a:solidFill>
                          </a:endParaRPr>
                        </a:p>
                      </a:txBody>
                      <a:useSpRect/>
                    </a:txSp>
                  </a:sp>
                  <a:sp>
                    <a:nvSpPr>
                      <a:cNvPr id="144" name="Rectangle 143"/>
                      <a:cNvSpPr>
                        <a:spLocks noChangeArrowheads="1"/>
                      </a:cNvSpPr>
                    </a:nvSpPr>
                    <a:spPr bwMode="auto">
                      <a:xfrm>
                        <a:off x="6755123" y="1253201"/>
                        <a:ext cx="1617663" cy="920750"/>
                      </a:xfrm>
                      <a:prstGeom prst="rect">
                        <a:avLst/>
                      </a:prstGeom>
                      <a:gradFill rotWithShape="1">
                        <a:gsLst>
                          <a:gs pos="0">
                            <a:srgbClr val="FF9900">
                              <a:gamma/>
                              <a:shade val="46275"/>
                              <a:invGamma/>
                            </a:srgbClr>
                          </a:gs>
                          <a:gs pos="100000">
                            <a:srgbClr val="FF9900"/>
                          </a:gs>
                        </a:gsLst>
                        <a:lin ang="5400000" scaled="1"/>
                      </a:gradFill>
                      <a:ln w="12700" algn="ctr">
                        <a:noFill/>
                        <a:miter lim="800000"/>
                        <a:headEnd type="none" w="sm" len="sm"/>
                        <a:tailEnd type="none" w="sm" len="sm"/>
                      </a:ln>
                      <a:effectLst>
                        <a:outerShdw dist="107763" dir="2700000" algn="ctr" rotWithShape="0">
                          <a:schemeClr val="bg2">
                            <a:alpha val="50000"/>
                          </a:schemeClr>
                        </a:outerShdw>
                      </a:effectLst>
                    </a:spPr>
                    <a:txSp>
                      <a:txBody>
                        <a:bodyPr wrap="none" lIns="96661" tIns="48331" rIns="96661" bIns="48331"/>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lgn="r" defTabSz="966788">
                            <a:buNone/>
                            <a:defRPr/>
                          </a:pPr>
                          <a:endParaRPr lang="en-US" sz="1000" b="1" dirty="0">
                            <a:solidFill>
                              <a:schemeClr val="bg1"/>
                            </a:solidFill>
                          </a:endParaRPr>
                        </a:p>
                      </a:txBody>
                      <a:useSpRect/>
                    </a:txSp>
                  </a:sp>
                  <a:sp>
                    <a:nvSpPr>
                      <a:cNvPr id="145" name="TextBox 144"/>
                      <a:cNvSpPr txBox="1"/>
                    </a:nvSpPr>
                    <a:spPr>
                      <a:xfrm>
                        <a:off x="7457243" y="1465390"/>
                        <a:ext cx="976764" cy="369332"/>
                      </a:xfrm>
                      <a:prstGeom prst="rect">
                        <a:avLst/>
                      </a:prstGeom>
                      <a:noFill/>
                    </a:spPr>
                    <a:txSp>
                      <a:txBody>
                        <a:bodyPr wrap="square" rtlCol="0">
                          <a:spAutoFit/>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buNone/>
                          </a:pPr>
                          <a:r>
                            <a:rPr lang="en-US" sz="1000" b="1" dirty="0" smtClean="0">
                              <a:solidFill>
                                <a:schemeClr val="bg1"/>
                              </a:solidFill>
                            </a:rPr>
                            <a:t>Executive Sponsor</a:t>
                          </a:r>
                          <a:endParaRPr lang="en-US" sz="1000" b="1" dirty="0">
                            <a:solidFill>
                              <a:schemeClr val="bg1"/>
                            </a:solidFill>
                          </a:endParaRPr>
                        </a:p>
                      </a:txBody>
                      <a:useSpRect/>
                    </a:txSp>
                  </a:sp>
                  <a:sp>
                    <a:nvSpPr>
                      <a:cNvPr id="146" name="Rectangle 145"/>
                      <a:cNvSpPr/>
                    </a:nvSpPr>
                    <a:spPr bwMode="auto">
                      <a:xfrm>
                        <a:off x="6867488" y="1336101"/>
                        <a:ext cx="559220" cy="725475"/>
                      </a:xfrm>
                      <a:prstGeom prst="rect">
                        <a:avLst/>
                      </a:prstGeom>
                      <a:solidFill>
                        <a:schemeClr val="tx1"/>
                      </a:solidFill>
                      <a:ln w="9525" cap="flat" cmpd="sng" algn="ctr">
                        <a:noFill/>
                        <a:prstDash val="solid"/>
                        <a:round/>
                        <a:headEnd type="none" w="med" len="med"/>
                        <a:tailEnd type="none" w="med" len="med"/>
                      </a:ln>
                      <a:effectLst/>
                    </a:spPr>
                    <a:txSp>
                      <a:txBody>
                        <a:bodyPr vert="horz" wrap="square" lIns="91440" tIns="45720" rIns="91440" bIns="45720" numCol="1" rtlCol="0" anchor="t" anchorCtr="0" compatLnSpc="1">
                          <a:prstTxWarp prst="textNoShape">
                            <a:avLst/>
                          </a:prstTxWarp>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marL="1582738" marR="0" indent="-381000" algn="l" defTabSz="966788" rtl="0" eaLnBrk="1" fontAlgn="base" latinLnBrk="0" hangingPunct="1">
                            <a:lnSpc>
                              <a:spcPct val="90000"/>
                            </a:lnSpc>
                            <a:spcBef>
                              <a:spcPct val="20000"/>
                            </a:spcBef>
                            <a:spcAft>
                              <a:spcPct val="50000"/>
                            </a:spcAft>
                            <a:buClr>
                              <a:srgbClr val="990000"/>
                            </a:buClr>
                            <a:buSzTx/>
                            <a:buFont typeface="Wingdings" pitchFamily="2" charset="2"/>
                            <a:buChar char="Ø"/>
                            <a:tabLst/>
                          </a:pPr>
                          <a:endParaRPr kumimoji="0" lang="en-US" sz="1600" b="0" i="0" u="none" strike="noStrike" cap="none" normalizeH="0" baseline="0" dirty="0" smtClean="0">
                            <a:ln>
                              <a:noFill/>
                            </a:ln>
                            <a:solidFill>
                              <a:schemeClr val="tx1"/>
                            </a:solidFill>
                            <a:effectLst/>
                            <a:latin typeface="Arial" charset="0"/>
                            <a:cs typeface="Arial" charset="0"/>
                          </a:endParaRPr>
                        </a:p>
                      </a:txBody>
                      <a:useSpRect/>
                    </a:txSp>
                  </a:sp>
                  <a:sp>
                    <a:nvSpPr>
                      <a:cNvPr id="151" name="Rectangle 150"/>
                      <a:cNvSpPr>
                        <a:spLocks noChangeArrowheads="1"/>
                      </a:cNvSpPr>
                    </a:nvSpPr>
                    <a:spPr bwMode="auto">
                      <a:xfrm>
                        <a:off x="6765480" y="2568575"/>
                        <a:ext cx="1617663" cy="920750"/>
                      </a:xfrm>
                      <a:prstGeom prst="rect">
                        <a:avLst/>
                      </a:prstGeom>
                      <a:gradFill rotWithShape="1">
                        <a:gsLst>
                          <a:gs pos="0">
                            <a:srgbClr val="FF9900">
                              <a:gamma/>
                              <a:shade val="46275"/>
                              <a:invGamma/>
                            </a:srgbClr>
                          </a:gs>
                          <a:gs pos="100000">
                            <a:srgbClr val="FF9900"/>
                          </a:gs>
                        </a:gsLst>
                        <a:lin ang="5400000" scaled="1"/>
                      </a:gradFill>
                      <a:ln w="12700" algn="ctr">
                        <a:noFill/>
                        <a:miter lim="800000"/>
                        <a:headEnd type="none" w="sm" len="sm"/>
                        <a:tailEnd type="none" w="sm" len="sm"/>
                      </a:ln>
                      <a:effectLst>
                        <a:outerShdw dist="107763" dir="2700000" algn="ctr" rotWithShape="0">
                          <a:schemeClr val="bg2">
                            <a:alpha val="50000"/>
                          </a:schemeClr>
                        </a:outerShdw>
                      </a:effectLst>
                    </a:spPr>
                    <a:txSp>
                      <a:txBody>
                        <a:bodyPr wrap="none" lIns="96661" tIns="48331" rIns="96661" bIns="48331"/>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lgn="r" defTabSz="966788">
                            <a:buNone/>
                            <a:defRPr/>
                          </a:pPr>
                          <a:endParaRPr lang="en-US" sz="1000" b="1" dirty="0">
                            <a:solidFill>
                              <a:schemeClr val="bg1"/>
                            </a:solidFill>
                          </a:endParaRPr>
                        </a:p>
                      </a:txBody>
                      <a:useSpRect/>
                    </a:txSp>
                  </a:sp>
                  <a:sp>
                    <a:nvSpPr>
                      <a:cNvPr id="152" name="TextBox 151"/>
                      <a:cNvSpPr txBox="1"/>
                    </a:nvSpPr>
                    <a:spPr>
                      <a:xfrm>
                        <a:off x="7467600" y="2780764"/>
                        <a:ext cx="976764" cy="369332"/>
                      </a:xfrm>
                      <a:prstGeom prst="rect">
                        <a:avLst/>
                      </a:prstGeom>
                      <a:noFill/>
                    </a:spPr>
                    <a:txSp>
                      <a:txBody>
                        <a:bodyPr wrap="square" rtlCol="0">
                          <a:spAutoFit/>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buNone/>
                          </a:pPr>
                          <a:r>
                            <a:rPr lang="en-US" sz="1000" b="1" dirty="0" smtClean="0">
                              <a:solidFill>
                                <a:schemeClr val="bg1"/>
                              </a:solidFill>
                            </a:rPr>
                            <a:t>Diversity &amp; Inclusion</a:t>
                          </a:r>
                          <a:endParaRPr lang="en-US" sz="1000" b="1" dirty="0">
                            <a:solidFill>
                              <a:schemeClr val="bg1"/>
                            </a:solidFill>
                          </a:endParaRPr>
                        </a:p>
                      </a:txBody>
                      <a:useSpRect/>
                    </a:txSp>
                  </a:sp>
                  <a:sp>
                    <a:nvSpPr>
                      <a:cNvPr id="153" name="Rectangle 152"/>
                      <a:cNvSpPr/>
                    </a:nvSpPr>
                    <a:spPr bwMode="auto">
                      <a:xfrm>
                        <a:off x="6877845" y="2651475"/>
                        <a:ext cx="559220" cy="725475"/>
                      </a:xfrm>
                      <a:prstGeom prst="rect">
                        <a:avLst/>
                      </a:prstGeom>
                      <a:solidFill>
                        <a:schemeClr val="tx1"/>
                      </a:solidFill>
                      <a:ln w="9525" cap="flat" cmpd="sng" algn="ctr">
                        <a:noFill/>
                        <a:prstDash val="solid"/>
                        <a:round/>
                        <a:headEnd type="none" w="med" len="med"/>
                        <a:tailEnd type="none" w="med" len="med"/>
                      </a:ln>
                      <a:effectLst/>
                    </a:spPr>
                    <a:txSp>
                      <a:txBody>
                        <a:bodyPr vert="horz" wrap="square" lIns="91440" tIns="45720" rIns="91440" bIns="45720" numCol="1" rtlCol="0" anchor="t" anchorCtr="0" compatLnSpc="1">
                          <a:prstTxWarp prst="textNoShape">
                            <a:avLst/>
                          </a:prstTxWarp>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marL="1582738" marR="0" indent="-381000" algn="l" defTabSz="966788" rtl="0" eaLnBrk="1" fontAlgn="base" latinLnBrk="0" hangingPunct="1">
                            <a:lnSpc>
                              <a:spcPct val="90000"/>
                            </a:lnSpc>
                            <a:spcBef>
                              <a:spcPct val="20000"/>
                            </a:spcBef>
                            <a:spcAft>
                              <a:spcPct val="50000"/>
                            </a:spcAft>
                            <a:buClr>
                              <a:srgbClr val="990000"/>
                            </a:buClr>
                            <a:buSzTx/>
                            <a:buFont typeface="Wingdings" pitchFamily="2" charset="2"/>
                            <a:buChar char="Ø"/>
                            <a:tabLst/>
                          </a:pPr>
                          <a:endParaRPr kumimoji="0" lang="en-US" sz="1600" b="0" i="0" u="none" strike="noStrike" cap="none" normalizeH="0" baseline="0" dirty="0" smtClean="0">
                            <a:ln>
                              <a:noFill/>
                            </a:ln>
                            <a:solidFill>
                              <a:schemeClr val="tx1"/>
                            </a:solidFill>
                            <a:effectLst/>
                            <a:latin typeface="Arial" charset="0"/>
                            <a:cs typeface="Arial" charset="0"/>
                          </a:endParaRPr>
                        </a:p>
                      </a:txBody>
                      <a:useSpRect/>
                    </a:txSp>
                  </a:sp>
                  <a:sp>
                    <a:nvSpPr>
                      <a:cNvPr id="154" name="Rectangle 153"/>
                      <a:cNvSpPr/>
                    </a:nvSpPr>
                    <a:spPr bwMode="auto">
                      <a:xfrm>
                        <a:off x="1229091" y="2045605"/>
                        <a:ext cx="559220" cy="725475"/>
                      </a:xfrm>
                      <a:prstGeom prst="rect">
                        <a:avLst/>
                      </a:prstGeom>
                      <a:solidFill>
                        <a:schemeClr val="tx1"/>
                      </a:solidFill>
                      <a:ln w="9525" cap="flat" cmpd="sng" algn="ctr">
                        <a:noFill/>
                        <a:prstDash val="solid"/>
                        <a:round/>
                        <a:headEnd type="none" w="med" len="med"/>
                        <a:tailEnd type="none" w="med" len="med"/>
                      </a:ln>
                      <a:effectLst/>
                    </a:spPr>
                    <a:txSp>
                      <a:txBody>
                        <a:bodyPr vert="horz" wrap="square" lIns="91440" tIns="45720" rIns="91440" bIns="45720" numCol="1" rtlCol="0" anchor="t" anchorCtr="0" compatLnSpc="1">
                          <a:prstTxWarp prst="textNoShape">
                            <a:avLst/>
                          </a:prstTxWarp>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marL="1582738" marR="0" indent="-381000" algn="l" defTabSz="966788" rtl="0" eaLnBrk="1" fontAlgn="base" latinLnBrk="0" hangingPunct="1">
                            <a:lnSpc>
                              <a:spcPct val="90000"/>
                            </a:lnSpc>
                            <a:spcBef>
                              <a:spcPct val="20000"/>
                            </a:spcBef>
                            <a:spcAft>
                              <a:spcPct val="50000"/>
                            </a:spcAft>
                            <a:buClr>
                              <a:srgbClr val="990000"/>
                            </a:buClr>
                            <a:buSzTx/>
                            <a:buFont typeface="Wingdings" pitchFamily="2" charset="2"/>
                            <a:buChar char="Ø"/>
                            <a:tabLst/>
                          </a:pPr>
                          <a:endParaRPr kumimoji="0" lang="en-US" sz="1600" b="0" i="0" u="none" strike="noStrike" cap="none" normalizeH="0" baseline="0" dirty="0" smtClean="0">
                            <a:ln>
                              <a:noFill/>
                            </a:ln>
                            <a:solidFill>
                              <a:schemeClr val="tx1"/>
                            </a:solidFill>
                            <a:effectLst/>
                            <a:latin typeface="Arial" charset="0"/>
                            <a:cs typeface="Arial" charset="0"/>
                          </a:endParaRPr>
                        </a:p>
                      </a:txBody>
                      <a:useSpRect/>
                    </a:txSp>
                  </a:sp>
                  <a:sp>
                    <a:nvSpPr>
                      <a:cNvPr id="155" name="Rectangle 154"/>
                      <a:cNvSpPr/>
                    </a:nvSpPr>
                    <a:spPr bwMode="auto">
                      <a:xfrm>
                        <a:off x="1212815" y="3059139"/>
                        <a:ext cx="559220" cy="725475"/>
                      </a:xfrm>
                      <a:prstGeom prst="rect">
                        <a:avLst/>
                      </a:prstGeom>
                      <a:solidFill>
                        <a:schemeClr val="tx1"/>
                      </a:solidFill>
                      <a:ln w="9525" cap="flat" cmpd="sng" algn="ctr">
                        <a:noFill/>
                        <a:prstDash val="solid"/>
                        <a:round/>
                        <a:headEnd type="none" w="med" len="med"/>
                        <a:tailEnd type="none" w="med" len="med"/>
                      </a:ln>
                      <a:effectLst/>
                    </a:spPr>
                    <a:txSp>
                      <a:txBody>
                        <a:bodyPr vert="horz" wrap="square" lIns="91440" tIns="45720" rIns="91440" bIns="45720" numCol="1" rtlCol="0" anchor="t" anchorCtr="0" compatLnSpc="1">
                          <a:prstTxWarp prst="textNoShape">
                            <a:avLst/>
                          </a:prstTxWarp>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marL="1582738" marR="0" indent="-381000" algn="l" defTabSz="966788" rtl="0" eaLnBrk="1" fontAlgn="base" latinLnBrk="0" hangingPunct="1">
                            <a:lnSpc>
                              <a:spcPct val="90000"/>
                            </a:lnSpc>
                            <a:spcBef>
                              <a:spcPct val="20000"/>
                            </a:spcBef>
                            <a:spcAft>
                              <a:spcPct val="50000"/>
                            </a:spcAft>
                            <a:buClr>
                              <a:srgbClr val="990000"/>
                            </a:buClr>
                            <a:buSzTx/>
                            <a:buFont typeface="Wingdings" pitchFamily="2" charset="2"/>
                            <a:buChar char="Ø"/>
                            <a:tabLst/>
                          </a:pPr>
                          <a:endParaRPr kumimoji="0" lang="en-US" sz="1600" b="0" i="0" u="none" strike="noStrike" cap="none" normalizeH="0" baseline="0" dirty="0" smtClean="0">
                            <a:ln>
                              <a:noFill/>
                            </a:ln>
                            <a:solidFill>
                              <a:schemeClr val="tx1"/>
                            </a:solidFill>
                            <a:effectLst/>
                            <a:latin typeface="Arial" charset="0"/>
                            <a:cs typeface="Arial" charset="0"/>
                          </a:endParaRPr>
                        </a:p>
                      </a:txBody>
                      <a:useSpRect/>
                    </a:txSp>
                  </a:sp>
                  <a:sp>
                    <a:nvSpPr>
                      <a:cNvPr id="156" name="Rectangle 155"/>
                      <a:cNvSpPr/>
                    </a:nvSpPr>
                    <a:spPr bwMode="auto">
                      <a:xfrm>
                        <a:off x="2890695" y="3068016"/>
                        <a:ext cx="559220" cy="725475"/>
                      </a:xfrm>
                      <a:prstGeom prst="rect">
                        <a:avLst/>
                      </a:prstGeom>
                      <a:solidFill>
                        <a:schemeClr val="tx1"/>
                      </a:solidFill>
                      <a:ln w="9525" cap="flat" cmpd="sng" algn="ctr">
                        <a:noFill/>
                        <a:prstDash val="solid"/>
                        <a:round/>
                        <a:headEnd type="none" w="med" len="med"/>
                        <a:tailEnd type="none" w="med" len="med"/>
                      </a:ln>
                      <a:effectLst/>
                    </a:spPr>
                    <a:txSp>
                      <a:txBody>
                        <a:bodyPr vert="horz" wrap="square" lIns="91440" tIns="45720" rIns="91440" bIns="45720" numCol="1" rtlCol="0" anchor="t" anchorCtr="0" compatLnSpc="1">
                          <a:prstTxWarp prst="textNoShape">
                            <a:avLst/>
                          </a:prstTxWarp>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marL="1582738" marR="0" indent="-381000" algn="l" defTabSz="966788" rtl="0" eaLnBrk="1" fontAlgn="base" latinLnBrk="0" hangingPunct="1">
                            <a:lnSpc>
                              <a:spcPct val="90000"/>
                            </a:lnSpc>
                            <a:spcBef>
                              <a:spcPct val="20000"/>
                            </a:spcBef>
                            <a:spcAft>
                              <a:spcPct val="50000"/>
                            </a:spcAft>
                            <a:buClr>
                              <a:srgbClr val="990000"/>
                            </a:buClr>
                            <a:buSzTx/>
                            <a:buFont typeface="Wingdings" pitchFamily="2" charset="2"/>
                            <a:buChar char="Ø"/>
                            <a:tabLst/>
                          </a:pPr>
                          <a:endParaRPr kumimoji="0" lang="en-US" sz="1600" b="0" i="0" u="none" strike="noStrike" cap="none" normalizeH="0" baseline="0" dirty="0" smtClean="0">
                            <a:ln>
                              <a:noFill/>
                            </a:ln>
                            <a:solidFill>
                              <a:schemeClr val="tx1"/>
                            </a:solidFill>
                            <a:effectLst/>
                            <a:latin typeface="Arial" charset="0"/>
                            <a:cs typeface="Arial" charset="0"/>
                          </a:endParaRPr>
                        </a:p>
                      </a:txBody>
                      <a:useSpRect/>
                    </a:txSp>
                  </a:sp>
                  <a:sp>
                    <a:nvSpPr>
                      <a:cNvPr id="157" name="Rectangle 156"/>
                      <a:cNvSpPr/>
                    </a:nvSpPr>
                    <a:spPr bwMode="auto">
                      <a:xfrm>
                        <a:off x="4732826" y="3028079"/>
                        <a:ext cx="560479" cy="802304"/>
                      </a:xfrm>
                      <a:prstGeom prst="rect">
                        <a:avLst/>
                      </a:prstGeom>
                      <a:solidFill>
                        <a:schemeClr val="tx1"/>
                      </a:solidFill>
                      <a:ln w="9525" cap="flat" cmpd="sng" algn="ctr">
                        <a:noFill/>
                        <a:prstDash val="solid"/>
                        <a:round/>
                        <a:headEnd type="none" w="med" len="med"/>
                        <a:tailEnd type="none" w="med" len="med"/>
                      </a:ln>
                      <a:effectLst/>
                    </a:spPr>
                    <a:txSp>
                      <a:txBody>
                        <a:bodyPr vert="horz" wrap="square" lIns="91440" tIns="45720" rIns="91440" bIns="45720" numCol="1" rtlCol="0" anchor="t" anchorCtr="0" compatLnSpc="1">
                          <a:prstTxWarp prst="textNoShape">
                            <a:avLst/>
                          </a:prstTxWarp>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marL="1582738" marR="0" indent="-381000" algn="l" defTabSz="966788" rtl="0" eaLnBrk="1" fontAlgn="base" latinLnBrk="0" hangingPunct="1">
                            <a:lnSpc>
                              <a:spcPct val="90000"/>
                            </a:lnSpc>
                            <a:spcBef>
                              <a:spcPct val="20000"/>
                            </a:spcBef>
                            <a:spcAft>
                              <a:spcPct val="50000"/>
                            </a:spcAft>
                            <a:buClr>
                              <a:srgbClr val="990000"/>
                            </a:buClr>
                            <a:buSzTx/>
                            <a:buFont typeface="Wingdings" pitchFamily="2" charset="2"/>
                            <a:buChar char="Ø"/>
                            <a:tabLst/>
                          </a:pPr>
                          <a:endParaRPr kumimoji="0" lang="en-US" sz="1600" b="0" i="0" u="none" strike="noStrike" cap="none" normalizeH="0" baseline="0" dirty="0" smtClean="0">
                            <a:ln>
                              <a:noFill/>
                            </a:ln>
                            <a:solidFill>
                              <a:schemeClr val="tx1"/>
                            </a:solidFill>
                            <a:effectLst/>
                            <a:latin typeface="Arial" charset="0"/>
                            <a:cs typeface="Arial" charset="0"/>
                          </a:endParaRPr>
                        </a:p>
                      </a:txBody>
                      <a:useSpRect/>
                    </a:txSp>
                  </a:sp>
                  <a:sp>
                    <a:nvSpPr>
                      <a:cNvPr id="158" name="Text Box 11"/>
                      <a:cNvSpPr txBox="1">
                        <a:spLocks noChangeArrowheads="1"/>
                      </a:cNvSpPr>
                    </a:nvSpPr>
                    <a:spPr bwMode="auto">
                      <a:xfrm>
                        <a:off x="2640371" y="639685"/>
                        <a:ext cx="2205358" cy="291495"/>
                      </a:xfrm>
                      <a:prstGeom prst="rect">
                        <a:avLst/>
                      </a:prstGeom>
                      <a:noFill/>
                      <a:ln w="9525">
                        <a:noFill/>
                        <a:miter lim="800000"/>
                        <a:headEnd/>
                        <a:tailEnd/>
                      </a:ln>
                    </a:spPr>
                    <a:txSp>
                      <a:txBody>
                        <a:bodyPr wrap="none" lIns="96652" tIns="48326" rIns="96652" bIns="48326">
                          <a:spAutoFit/>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lgn="ctr" defTabSz="966788">
                            <a:buNone/>
                          </a:pPr>
                          <a:r>
                            <a:rPr lang="en-US" sz="1400" b="1" dirty="0" smtClean="0">
                              <a:solidFill>
                                <a:schemeClr val="accent1">
                                  <a:lumMod val="50000"/>
                                </a:schemeClr>
                              </a:solidFill>
                              <a:cs typeface="Arial" charset="0"/>
                            </a:rPr>
                            <a:t>Sector Executive Board</a:t>
                          </a:r>
                          <a:endParaRPr lang="en-US" sz="1400" b="1" dirty="0">
                            <a:solidFill>
                              <a:schemeClr val="accent1">
                                <a:lumMod val="50000"/>
                              </a:schemeClr>
                            </a:solidFill>
                            <a:cs typeface="Arial" charset="0"/>
                          </a:endParaRPr>
                        </a:p>
                      </a:txBody>
                      <a:useSpRect/>
                    </a:txSp>
                  </a:sp>
                  <a:sp>
                    <a:nvSpPr>
                      <a:cNvPr id="159" name="Rectangle 158"/>
                      <a:cNvSpPr/>
                    </a:nvSpPr>
                    <a:spPr bwMode="auto">
                      <a:xfrm>
                        <a:off x="1452111" y="4682981"/>
                        <a:ext cx="559220" cy="725475"/>
                      </a:xfrm>
                      <a:prstGeom prst="rect">
                        <a:avLst/>
                      </a:prstGeom>
                      <a:solidFill>
                        <a:schemeClr val="tx1"/>
                      </a:solidFill>
                      <a:ln w="9525" cap="flat" cmpd="sng" algn="ctr">
                        <a:noFill/>
                        <a:prstDash val="solid"/>
                        <a:round/>
                        <a:headEnd type="none" w="med" len="med"/>
                        <a:tailEnd type="none" w="med" len="med"/>
                      </a:ln>
                      <a:effectLst/>
                    </a:spPr>
                    <a:txSp>
                      <a:txBody>
                        <a:bodyPr vert="horz" wrap="square" lIns="91440" tIns="45720" rIns="91440" bIns="45720" numCol="1" rtlCol="0" anchor="t" anchorCtr="0" compatLnSpc="1">
                          <a:prstTxWarp prst="textNoShape">
                            <a:avLst/>
                          </a:prstTxWarp>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marL="1582738" marR="0" indent="-381000" algn="l" defTabSz="966788" rtl="0" eaLnBrk="1" fontAlgn="base" latinLnBrk="0" hangingPunct="1">
                            <a:lnSpc>
                              <a:spcPct val="90000"/>
                            </a:lnSpc>
                            <a:spcBef>
                              <a:spcPct val="20000"/>
                            </a:spcBef>
                            <a:spcAft>
                              <a:spcPct val="50000"/>
                            </a:spcAft>
                            <a:buClr>
                              <a:srgbClr val="990000"/>
                            </a:buClr>
                            <a:buSzTx/>
                            <a:buFont typeface="Wingdings" pitchFamily="2" charset="2"/>
                            <a:buChar char="Ø"/>
                            <a:tabLst/>
                          </a:pPr>
                          <a:endParaRPr kumimoji="0" lang="en-US" sz="1600" b="0" i="0" u="none" strike="noStrike" cap="none" normalizeH="0" baseline="0" dirty="0" smtClean="0">
                            <a:ln>
                              <a:noFill/>
                            </a:ln>
                            <a:solidFill>
                              <a:schemeClr val="tx1"/>
                            </a:solidFill>
                            <a:effectLst/>
                            <a:latin typeface="Arial" charset="0"/>
                            <a:cs typeface="Arial" charset="0"/>
                          </a:endParaRPr>
                        </a:p>
                      </a:txBody>
                      <a:useSpRect/>
                    </a:txSp>
                  </a:sp>
                  <a:sp>
                    <a:nvSpPr>
                      <a:cNvPr id="160" name="Rectangle 159"/>
                      <a:cNvSpPr/>
                    </a:nvSpPr>
                    <a:spPr bwMode="auto">
                      <a:xfrm>
                        <a:off x="2785241" y="4684461"/>
                        <a:ext cx="559220" cy="725475"/>
                      </a:xfrm>
                      <a:prstGeom prst="rect">
                        <a:avLst/>
                      </a:prstGeom>
                      <a:solidFill>
                        <a:schemeClr val="tx1"/>
                      </a:solidFill>
                      <a:ln w="9525" cap="flat" cmpd="sng" algn="ctr">
                        <a:noFill/>
                        <a:prstDash val="solid"/>
                        <a:round/>
                        <a:headEnd type="none" w="med" len="med"/>
                        <a:tailEnd type="none" w="med" len="med"/>
                      </a:ln>
                      <a:effectLst/>
                    </a:spPr>
                    <a:txSp>
                      <a:txBody>
                        <a:bodyPr vert="horz" wrap="square" lIns="91440" tIns="45720" rIns="91440" bIns="45720" numCol="1" rtlCol="0" anchor="t" anchorCtr="0" compatLnSpc="1">
                          <a:prstTxWarp prst="textNoShape">
                            <a:avLst/>
                          </a:prstTxWarp>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marL="1582738" marR="0" indent="-381000" algn="l" defTabSz="966788" rtl="0" eaLnBrk="1" fontAlgn="base" latinLnBrk="0" hangingPunct="1">
                            <a:lnSpc>
                              <a:spcPct val="90000"/>
                            </a:lnSpc>
                            <a:spcBef>
                              <a:spcPct val="20000"/>
                            </a:spcBef>
                            <a:spcAft>
                              <a:spcPct val="50000"/>
                            </a:spcAft>
                            <a:buClr>
                              <a:srgbClr val="990000"/>
                            </a:buClr>
                            <a:buSzTx/>
                            <a:buFont typeface="Wingdings" pitchFamily="2" charset="2"/>
                            <a:buChar char="Ø"/>
                            <a:tabLst/>
                          </a:pPr>
                          <a:endParaRPr kumimoji="0" lang="en-US" sz="1600" b="0" i="0" u="none" strike="noStrike" cap="none" normalizeH="0" baseline="0" dirty="0" smtClean="0">
                            <a:ln>
                              <a:noFill/>
                            </a:ln>
                            <a:solidFill>
                              <a:schemeClr val="tx1"/>
                            </a:solidFill>
                            <a:effectLst/>
                            <a:latin typeface="Arial" charset="0"/>
                            <a:cs typeface="Arial" charset="0"/>
                          </a:endParaRPr>
                        </a:p>
                      </a:txBody>
                      <a:useSpRect/>
                    </a:txSp>
                  </a:sp>
                  <a:sp>
                    <a:nvSpPr>
                      <a:cNvPr id="161" name="Rectangle 160"/>
                      <a:cNvSpPr/>
                    </a:nvSpPr>
                    <a:spPr bwMode="auto">
                      <a:xfrm>
                        <a:off x="4108015" y="4675583"/>
                        <a:ext cx="559220" cy="725475"/>
                      </a:xfrm>
                      <a:prstGeom prst="rect">
                        <a:avLst/>
                      </a:prstGeom>
                      <a:solidFill>
                        <a:schemeClr val="tx1"/>
                      </a:solidFill>
                      <a:ln w="9525" cap="flat" cmpd="sng" algn="ctr">
                        <a:noFill/>
                        <a:prstDash val="solid"/>
                        <a:round/>
                        <a:headEnd type="none" w="med" len="med"/>
                        <a:tailEnd type="none" w="med" len="med"/>
                      </a:ln>
                      <a:effectLst/>
                    </a:spPr>
                    <a:txSp>
                      <a:txBody>
                        <a:bodyPr vert="horz" wrap="square" lIns="91440" tIns="45720" rIns="91440" bIns="45720" numCol="1" rtlCol="0" anchor="t" anchorCtr="0" compatLnSpc="1">
                          <a:prstTxWarp prst="textNoShape">
                            <a:avLst/>
                          </a:prstTxWarp>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marL="1582738" marR="0" indent="-381000" algn="l" defTabSz="966788" rtl="0" eaLnBrk="1" fontAlgn="base" latinLnBrk="0" hangingPunct="1">
                            <a:lnSpc>
                              <a:spcPct val="90000"/>
                            </a:lnSpc>
                            <a:spcBef>
                              <a:spcPct val="20000"/>
                            </a:spcBef>
                            <a:spcAft>
                              <a:spcPct val="50000"/>
                            </a:spcAft>
                            <a:buClr>
                              <a:srgbClr val="990000"/>
                            </a:buClr>
                            <a:buSzTx/>
                            <a:buFont typeface="Wingdings" pitchFamily="2" charset="2"/>
                            <a:buChar char="Ø"/>
                            <a:tabLst/>
                          </a:pPr>
                          <a:endParaRPr kumimoji="0" lang="en-US" sz="1600" b="0" i="0" u="none" strike="noStrike" cap="none" normalizeH="0" baseline="0" dirty="0" smtClean="0">
                            <a:ln>
                              <a:noFill/>
                            </a:ln>
                            <a:solidFill>
                              <a:schemeClr val="tx1"/>
                            </a:solidFill>
                            <a:effectLst/>
                            <a:latin typeface="Arial" charset="0"/>
                            <a:cs typeface="Arial" charset="0"/>
                          </a:endParaRPr>
                        </a:p>
                      </a:txBody>
                      <a:useSpRect/>
                    </a:txSp>
                  </a:sp>
                  <a:sp>
                    <a:nvSpPr>
                      <a:cNvPr id="162" name="Rectangle 161"/>
                      <a:cNvSpPr/>
                    </a:nvSpPr>
                    <a:spPr bwMode="auto">
                      <a:xfrm>
                        <a:off x="5395276" y="4657827"/>
                        <a:ext cx="559220" cy="725475"/>
                      </a:xfrm>
                      <a:prstGeom prst="rect">
                        <a:avLst/>
                      </a:prstGeom>
                      <a:solidFill>
                        <a:schemeClr val="tx1"/>
                      </a:solidFill>
                      <a:ln w="9525" cap="flat" cmpd="sng" algn="ctr">
                        <a:noFill/>
                        <a:prstDash val="solid"/>
                        <a:round/>
                        <a:headEnd type="none" w="med" len="med"/>
                        <a:tailEnd type="none" w="med" len="med"/>
                      </a:ln>
                      <a:effectLst/>
                    </a:spPr>
                    <a:txSp>
                      <a:txBody>
                        <a:bodyPr vert="horz" wrap="square" lIns="91440" tIns="45720" rIns="91440" bIns="45720" numCol="1" rtlCol="0" anchor="t" anchorCtr="0" compatLnSpc="1">
                          <a:prstTxWarp prst="textNoShape">
                            <a:avLst/>
                          </a:prstTxWarp>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marL="1582738" marR="0" indent="-381000" algn="l" defTabSz="966788" rtl="0" eaLnBrk="1" fontAlgn="base" latinLnBrk="0" hangingPunct="1">
                            <a:lnSpc>
                              <a:spcPct val="90000"/>
                            </a:lnSpc>
                            <a:spcBef>
                              <a:spcPct val="20000"/>
                            </a:spcBef>
                            <a:spcAft>
                              <a:spcPct val="50000"/>
                            </a:spcAft>
                            <a:buClr>
                              <a:srgbClr val="990000"/>
                            </a:buClr>
                            <a:buSzTx/>
                            <a:buFont typeface="Wingdings" pitchFamily="2" charset="2"/>
                            <a:buChar char="Ø"/>
                            <a:tabLst/>
                          </a:pPr>
                          <a:endParaRPr kumimoji="0" lang="en-US" sz="1600" b="0" i="0" u="none" strike="noStrike" cap="none" normalizeH="0" baseline="0" dirty="0" smtClean="0">
                            <a:ln>
                              <a:noFill/>
                            </a:ln>
                            <a:solidFill>
                              <a:schemeClr val="tx1"/>
                            </a:solidFill>
                            <a:effectLst/>
                            <a:latin typeface="Arial" charset="0"/>
                            <a:cs typeface="Arial" charset="0"/>
                          </a:endParaRPr>
                        </a:p>
                      </a:txBody>
                      <a:useSpRect/>
                    </a:txSp>
                  </a:sp>
                  <a:sp>
                    <a:nvSpPr>
                      <a:cNvPr id="163" name="Rectangle 162"/>
                      <a:cNvSpPr/>
                    </a:nvSpPr>
                    <a:spPr bwMode="auto">
                      <a:xfrm>
                        <a:off x="6718049" y="4657828"/>
                        <a:ext cx="559220" cy="725475"/>
                      </a:xfrm>
                      <a:prstGeom prst="rect">
                        <a:avLst/>
                      </a:prstGeom>
                      <a:solidFill>
                        <a:schemeClr val="tx1"/>
                      </a:solidFill>
                      <a:ln w="9525" cap="flat" cmpd="sng" algn="ctr">
                        <a:noFill/>
                        <a:prstDash val="solid"/>
                        <a:round/>
                        <a:headEnd type="none" w="med" len="med"/>
                        <a:tailEnd type="none" w="med" len="med"/>
                      </a:ln>
                      <a:effectLst/>
                    </a:spPr>
                    <a:txSp>
                      <a:txBody>
                        <a:bodyPr vert="horz" wrap="square" lIns="91440" tIns="45720" rIns="91440" bIns="45720" numCol="1" rtlCol="0" anchor="t" anchorCtr="0" compatLnSpc="1">
                          <a:prstTxWarp prst="textNoShape">
                            <a:avLst/>
                          </a:prstTxWarp>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marL="1582738" marR="0" indent="-381000" algn="l" defTabSz="966788" rtl="0" eaLnBrk="1" fontAlgn="base" latinLnBrk="0" hangingPunct="1">
                            <a:lnSpc>
                              <a:spcPct val="90000"/>
                            </a:lnSpc>
                            <a:spcBef>
                              <a:spcPct val="20000"/>
                            </a:spcBef>
                            <a:spcAft>
                              <a:spcPct val="50000"/>
                            </a:spcAft>
                            <a:buClr>
                              <a:srgbClr val="990000"/>
                            </a:buClr>
                            <a:buSzTx/>
                            <a:buFont typeface="Wingdings" pitchFamily="2" charset="2"/>
                            <a:buChar char="Ø"/>
                            <a:tabLst/>
                          </a:pPr>
                          <a:endParaRPr kumimoji="0" lang="en-US" sz="1600" b="0" i="0" u="none" strike="noStrike" cap="none" normalizeH="0" baseline="0" dirty="0" smtClean="0">
                            <a:ln>
                              <a:noFill/>
                            </a:ln>
                            <a:solidFill>
                              <a:schemeClr val="tx1"/>
                            </a:solidFill>
                            <a:effectLst/>
                            <a:latin typeface="Arial" charset="0"/>
                            <a:cs typeface="Arial" charset="0"/>
                          </a:endParaRPr>
                        </a:p>
                      </a:txBody>
                      <a:useSpRect/>
                    </a:txSp>
                  </a:sp>
                  <a:sp>
                    <a:nvSpPr>
                      <a:cNvPr id="67" name="Rectangle 26"/>
                      <a:cNvSpPr>
                        <a:spLocks noChangeArrowheads="1"/>
                      </a:cNvSpPr>
                    </a:nvSpPr>
                    <a:spPr bwMode="auto">
                      <a:xfrm>
                        <a:off x="7685814" y="4422852"/>
                        <a:ext cx="1066800" cy="1084263"/>
                      </a:xfrm>
                      <a:prstGeom prst="rect">
                        <a:avLst/>
                      </a:prstGeom>
                      <a:gradFill rotWithShape="1">
                        <a:gsLst>
                          <a:gs pos="0">
                            <a:srgbClr val="FF9900">
                              <a:gamma/>
                              <a:shade val="46275"/>
                              <a:invGamma/>
                            </a:srgbClr>
                          </a:gs>
                          <a:gs pos="100000">
                            <a:srgbClr val="FF9900"/>
                          </a:gs>
                        </a:gsLst>
                        <a:lin ang="5400000" scaled="1"/>
                      </a:gradFill>
                      <a:ln w="28575">
                        <a:noFill/>
                        <a:miter lim="800000"/>
                        <a:headEnd type="none" w="sm" len="sm"/>
                        <a:tailEnd type="none" w="sm" len="sm"/>
                      </a:ln>
                      <a:effectLst>
                        <a:outerShdw dist="107763" dir="2700000" algn="ctr" rotWithShape="0">
                          <a:schemeClr val="bg2">
                            <a:alpha val="50000"/>
                          </a:schemeClr>
                        </a:outerShdw>
                      </a:effectLst>
                    </a:spPr>
                    <a:txSp>
                      <a:txBody>
                        <a:bodyPr wrap="none" lIns="96661" tIns="48331" rIns="96661" bIns="48331"/>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lgn="ctr" defTabSz="966788">
                            <a:lnSpc>
                              <a:spcPct val="100000"/>
                            </a:lnSpc>
                            <a:spcBef>
                              <a:spcPct val="0"/>
                            </a:spcBef>
                            <a:spcAft>
                              <a:spcPct val="0"/>
                            </a:spcAft>
                            <a:buClrTx/>
                            <a:buFontTx/>
                            <a:buNone/>
                          </a:pPr>
                          <a:r>
                            <a:rPr lang="en-US" sz="1000" b="1" dirty="0" smtClean="0">
                              <a:solidFill>
                                <a:schemeClr val="bg1"/>
                              </a:solidFill>
                            </a:rPr>
                            <a:t>Campus F</a:t>
                          </a:r>
                          <a:endParaRPr lang="en-US" sz="1300" b="1" dirty="0">
                            <a:solidFill>
                              <a:schemeClr val="bg1"/>
                            </a:solidFill>
                          </a:endParaRPr>
                        </a:p>
                      </a:txBody>
                      <a:useSpRect/>
                    </a:txSp>
                  </a:sp>
                  <a:sp>
                    <a:nvSpPr>
                      <a:cNvPr id="69" name="Rectangle 68"/>
                      <a:cNvSpPr/>
                    </a:nvSpPr>
                    <a:spPr bwMode="auto">
                      <a:xfrm>
                        <a:off x="7962402" y="4659307"/>
                        <a:ext cx="559220" cy="725475"/>
                      </a:xfrm>
                      <a:prstGeom prst="rect">
                        <a:avLst/>
                      </a:prstGeom>
                      <a:solidFill>
                        <a:schemeClr val="tx1"/>
                      </a:solidFill>
                      <a:ln w="9525" cap="flat" cmpd="sng" algn="ctr">
                        <a:noFill/>
                        <a:prstDash val="solid"/>
                        <a:round/>
                        <a:headEnd type="none" w="med" len="med"/>
                        <a:tailEnd type="none" w="med" len="med"/>
                      </a:ln>
                      <a:effectLst/>
                    </a:spPr>
                    <a:txSp>
                      <a:txBody>
                        <a:bodyPr vert="horz" wrap="square" lIns="91440" tIns="45720" rIns="91440" bIns="45720" numCol="1" rtlCol="0" anchor="t" anchorCtr="0" compatLnSpc="1">
                          <a:prstTxWarp prst="textNoShape">
                            <a:avLst/>
                          </a:prstTxWarp>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marL="1582738" marR="0" indent="-381000" algn="l" defTabSz="966788" rtl="0" eaLnBrk="1" fontAlgn="base" latinLnBrk="0" hangingPunct="1">
                            <a:lnSpc>
                              <a:spcPct val="90000"/>
                            </a:lnSpc>
                            <a:spcBef>
                              <a:spcPct val="20000"/>
                            </a:spcBef>
                            <a:spcAft>
                              <a:spcPct val="50000"/>
                            </a:spcAft>
                            <a:buClr>
                              <a:srgbClr val="990000"/>
                            </a:buClr>
                            <a:buSzTx/>
                            <a:buFont typeface="Wingdings" pitchFamily="2" charset="2"/>
                            <a:buChar char="Ø"/>
                            <a:tabLst/>
                          </a:pPr>
                          <a:endParaRPr kumimoji="0" lang="en-US" sz="1600" b="0" i="0" u="none" strike="noStrike" cap="none" normalizeH="0" baseline="0" dirty="0" smtClean="0">
                            <a:ln>
                              <a:noFill/>
                            </a:ln>
                            <a:solidFill>
                              <a:schemeClr val="tx1"/>
                            </a:solidFill>
                            <a:effectLst/>
                            <a:latin typeface="Arial" charset="0"/>
                            <a:cs typeface="Arial" charset="0"/>
                          </a:endParaRPr>
                        </a:p>
                      </a:txBody>
                      <a:useSpRect/>
                    </a:txSp>
                  </a:sp>
                  <a:sp>
                    <a:nvSpPr>
                      <a:cNvPr id="70" name="Rectangle 26"/>
                      <a:cNvSpPr>
                        <a:spLocks noChangeArrowheads="1"/>
                      </a:cNvSpPr>
                    </a:nvSpPr>
                    <a:spPr bwMode="auto">
                      <a:xfrm>
                        <a:off x="1221367" y="5637737"/>
                        <a:ext cx="1066800" cy="1084263"/>
                      </a:xfrm>
                      <a:prstGeom prst="rect">
                        <a:avLst/>
                      </a:prstGeom>
                      <a:gradFill rotWithShape="1">
                        <a:gsLst>
                          <a:gs pos="0">
                            <a:srgbClr val="FF9900">
                              <a:gamma/>
                              <a:shade val="46275"/>
                              <a:invGamma/>
                            </a:srgbClr>
                          </a:gs>
                          <a:gs pos="100000">
                            <a:srgbClr val="FF9900"/>
                          </a:gs>
                        </a:gsLst>
                        <a:lin ang="5400000" scaled="1"/>
                      </a:gradFill>
                      <a:ln w="28575">
                        <a:noFill/>
                        <a:miter lim="800000"/>
                        <a:headEnd type="none" w="sm" len="sm"/>
                        <a:tailEnd type="none" w="sm" len="sm"/>
                      </a:ln>
                      <a:effectLst>
                        <a:outerShdw dist="107763" dir="2700000" algn="ctr" rotWithShape="0">
                          <a:schemeClr val="bg2">
                            <a:alpha val="50000"/>
                          </a:schemeClr>
                        </a:outerShdw>
                      </a:effectLst>
                    </a:spPr>
                    <a:txSp>
                      <a:txBody>
                        <a:bodyPr wrap="none" lIns="96661" tIns="48331" rIns="96661" bIns="48331"/>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lgn="ctr" defTabSz="966788">
                            <a:lnSpc>
                              <a:spcPct val="100000"/>
                            </a:lnSpc>
                            <a:spcBef>
                              <a:spcPct val="0"/>
                            </a:spcBef>
                            <a:spcAft>
                              <a:spcPct val="0"/>
                            </a:spcAft>
                            <a:buClrTx/>
                            <a:buFontTx/>
                            <a:buNone/>
                          </a:pPr>
                          <a:r>
                            <a:rPr lang="en-US" sz="1000" b="1" dirty="0" smtClean="0">
                              <a:solidFill>
                                <a:schemeClr val="bg1"/>
                              </a:solidFill>
                            </a:rPr>
                            <a:t>Campus G</a:t>
                          </a:r>
                          <a:endParaRPr lang="en-US" sz="1300" b="1" dirty="0">
                            <a:solidFill>
                              <a:schemeClr val="bg1"/>
                            </a:solidFill>
                          </a:endParaRPr>
                        </a:p>
                      </a:txBody>
                      <a:useSpRect/>
                    </a:txSp>
                  </a:sp>
                  <a:sp>
                    <a:nvSpPr>
                      <a:cNvPr id="72" name="Rectangle 26"/>
                      <a:cNvSpPr>
                        <a:spLocks noChangeArrowheads="1"/>
                      </a:cNvSpPr>
                    </a:nvSpPr>
                    <a:spPr bwMode="auto">
                      <a:xfrm>
                        <a:off x="2537328" y="5655430"/>
                        <a:ext cx="1066800" cy="1084263"/>
                      </a:xfrm>
                      <a:prstGeom prst="rect">
                        <a:avLst/>
                      </a:prstGeom>
                      <a:gradFill rotWithShape="1">
                        <a:gsLst>
                          <a:gs pos="0">
                            <a:srgbClr val="FF9900">
                              <a:gamma/>
                              <a:shade val="46275"/>
                              <a:invGamma/>
                            </a:srgbClr>
                          </a:gs>
                          <a:gs pos="100000">
                            <a:srgbClr val="FF9900"/>
                          </a:gs>
                        </a:gsLst>
                        <a:lin ang="5400000" scaled="1"/>
                      </a:gradFill>
                      <a:ln w="28575">
                        <a:noFill/>
                        <a:miter lim="800000"/>
                        <a:headEnd type="none" w="sm" len="sm"/>
                        <a:tailEnd type="none" w="sm" len="sm"/>
                      </a:ln>
                      <a:effectLst>
                        <a:outerShdw dist="107763" dir="2700000" algn="ctr" rotWithShape="0">
                          <a:schemeClr val="bg2">
                            <a:alpha val="50000"/>
                          </a:schemeClr>
                        </a:outerShdw>
                      </a:effectLst>
                    </a:spPr>
                    <a:txSp>
                      <a:txBody>
                        <a:bodyPr wrap="none" lIns="96661" tIns="48331" rIns="96661" bIns="48331"/>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lgn="ctr" defTabSz="966788">
                            <a:lnSpc>
                              <a:spcPct val="100000"/>
                            </a:lnSpc>
                            <a:spcBef>
                              <a:spcPct val="0"/>
                            </a:spcBef>
                            <a:spcAft>
                              <a:spcPct val="0"/>
                            </a:spcAft>
                            <a:buClrTx/>
                            <a:buFontTx/>
                            <a:buNone/>
                          </a:pPr>
                          <a:r>
                            <a:rPr lang="en-US" sz="1000" b="1" dirty="0" smtClean="0">
                              <a:solidFill>
                                <a:schemeClr val="bg1"/>
                              </a:solidFill>
                            </a:rPr>
                            <a:t>Campus H</a:t>
                          </a:r>
                          <a:endParaRPr lang="en-US" sz="1300" b="1" dirty="0">
                            <a:solidFill>
                              <a:schemeClr val="bg1"/>
                            </a:solidFill>
                          </a:endParaRPr>
                        </a:p>
                      </a:txBody>
                      <a:useSpRect/>
                    </a:txSp>
                  </a:sp>
                  <a:sp>
                    <a:nvSpPr>
                      <a:cNvPr id="73" name="Rectangle 26"/>
                      <a:cNvSpPr>
                        <a:spLocks noChangeArrowheads="1"/>
                      </a:cNvSpPr>
                    </a:nvSpPr>
                    <a:spPr bwMode="auto">
                      <a:xfrm>
                        <a:off x="3847116" y="5655432"/>
                        <a:ext cx="1066800" cy="1084263"/>
                      </a:xfrm>
                      <a:prstGeom prst="rect">
                        <a:avLst/>
                      </a:prstGeom>
                      <a:gradFill rotWithShape="1">
                        <a:gsLst>
                          <a:gs pos="0">
                            <a:srgbClr val="FF9900">
                              <a:gamma/>
                              <a:shade val="46275"/>
                              <a:invGamma/>
                            </a:srgbClr>
                          </a:gs>
                          <a:gs pos="100000">
                            <a:srgbClr val="FF9900"/>
                          </a:gs>
                        </a:gsLst>
                        <a:lin ang="5400000" scaled="1"/>
                      </a:gradFill>
                      <a:ln w="28575">
                        <a:noFill/>
                        <a:miter lim="800000"/>
                        <a:headEnd type="none" w="sm" len="sm"/>
                        <a:tailEnd type="none" w="sm" len="sm"/>
                      </a:ln>
                      <a:effectLst>
                        <a:outerShdw dist="107763" dir="2700000" algn="ctr" rotWithShape="0">
                          <a:schemeClr val="bg2">
                            <a:alpha val="50000"/>
                          </a:schemeClr>
                        </a:outerShdw>
                      </a:effectLst>
                    </a:spPr>
                    <a:txSp>
                      <a:txBody>
                        <a:bodyPr wrap="none" lIns="96661" tIns="48331" rIns="96661" bIns="48331"/>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lgn="ctr" defTabSz="966788">
                            <a:lnSpc>
                              <a:spcPct val="100000"/>
                            </a:lnSpc>
                            <a:spcBef>
                              <a:spcPct val="0"/>
                            </a:spcBef>
                            <a:spcAft>
                              <a:spcPct val="0"/>
                            </a:spcAft>
                            <a:buClrTx/>
                            <a:buFontTx/>
                            <a:buNone/>
                          </a:pPr>
                          <a:r>
                            <a:rPr lang="en-US" sz="1000" b="1" dirty="0" smtClean="0">
                              <a:solidFill>
                                <a:schemeClr val="bg1"/>
                              </a:solidFill>
                            </a:rPr>
                            <a:t>Region A</a:t>
                          </a:r>
                          <a:endParaRPr lang="en-US" sz="1300" b="1" dirty="0">
                            <a:solidFill>
                              <a:schemeClr val="bg1"/>
                            </a:solidFill>
                          </a:endParaRPr>
                        </a:p>
                      </a:txBody>
                      <a:useSpRect/>
                    </a:txSp>
                  </a:sp>
                  <a:sp>
                    <a:nvSpPr>
                      <a:cNvPr id="74" name="Rectangle 26"/>
                      <a:cNvSpPr>
                        <a:spLocks noChangeArrowheads="1"/>
                      </a:cNvSpPr>
                    </a:nvSpPr>
                    <a:spPr bwMode="auto">
                      <a:xfrm>
                        <a:off x="5154198" y="5655369"/>
                        <a:ext cx="1066800" cy="1084263"/>
                      </a:xfrm>
                      <a:prstGeom prst="rect">
                        <a:avLst/>
                      </a:prstGeom>
                      <a:gradFill rotWithShape="1">
                        <a:gsLst>
                          <a:gs pos="0">
                            <a:srgbClr val="FF9900">
                              <a:gamma/>
                              <a:shade val="46275"/>
                              <a:invGamma/>
                            </a:srgbClr>
                          </a:gs>
                          <a:gs pos="100000">
                            <a:srgbClr val="FF9900"/>
                          </a:gs>
                        </a:gsLst>
                        <a:lin ang="5400000" scaled="1"/>
                      </a:gradFill>
                      <a:ln w="28575">
                        <a:noFill/>
                        <a:miter lim="800000"/>
                        <a:headEnd type="none" w="sm" len="sm"/>
                        <a:tailEnd type="none" w="sm" len="sm"/>
                      </a:ln>
                      <a:effectLst>
                        <a:outerShdw dist="107763" dir="2700000" algn="ctr" rotWithShape="0">
                          <a:schemeClr val="bg2">
                            <a:alpha val="50000"/>
                          </a:schemeClr>
                        </a:outerShdw>
                      </a:effectLst>
                    </a:spPr>
                    <a:txSp>
                      <a:txBody>
                        <a:bodyPr wrap="none" lIns="96661" tIns="48331" rIns="96661" bIns="48331"/>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lgn="ctr" defTabSz="966788">
                            <a:lnSpc>
                              <a:spcPct val="100000"/>
                            </a:lnSpc>
                            <a:spcBef>
                              <a:spcPct val="0"/>
                            </a:spcBef>
                            <a:spcAft>
                              <a:spcPct val="0"/>
                            </a:spcAft>
                            <a:buClrTx/>
                            <a:buFontTx/>
                            <a:buNone/>
                          </a:pPr>
                          <a:r>
                            <a:rPr lang="en-US" sz="1000" b="1" dirty="0" smtClean="0">
                              <a:solidFill>
                                <a:schemeClr val="bg1"/>
                              </a:solidFill>
                            </a:rPr>
                            <a:t>Region B</a:t>
                          </a:r>
                          <a:endParaRPr lang="en-US" sz="1300" b="1" dirty="0">
                            <a:solidFill>
                              <a:schemeClr val="bg1"/>
                            </a:solidFill>
                          </a:endParaRPr>
                        </a:p>
                      </a:txBody>
                      <a:useSpRect/>
                    </a:txSp>
                  </a:sp>
                  <a:sp>
                    <a:nvSpPr>
                      <a:cNvPr id="75" name="Rectangle 26"/>
                      <a:cNvSpPr>
                        <a:spLocks noChangeArrowheads="1"/>
                      </a:cNvSpPr>
                    </a:nvSpPr>
                    <a:spPr bwMode="auto">
                      <a:xfrm>
                        <a:off x="6442941" y="5656849"/>
                        <a:ext cx="1066800" cy="1084263"/>
                      </a:xfrm>
                      <a:prstGeom prst="rect">
                        <a:avLst/>
                      </a:prstGeom>
                      <a:gradFill rotWithShape="1">
                        <a:gsLst>
                          <a:gs pos="0">
                            <a:srgbClr val="FF9900">
                              <a:gamma/>
                              <a:shade val="46275"/>
                              <a:invGamma/>
                            </a:srgbClr>
                          </a:gs>
                          <a:gs pos="100000">
                            <a:srgbClr val="FF9900"/>
                          </a:gs>
                        </a:gsLst>
                        <a:lin ang="5400000" scaled="1"/>
                      </a:gradFill>
                      <a:ln w="28575">
                        <a:noFill/>
                        <a:miter lim="800000"/>
                        <a:headEnd type="none" w="sm" len="sm"/>
                        <a:tailEnd type="none" w="sm" len="sm"/>
                      </a:ln>
                      <a:effectLst>
                        <a:outerShdw dist="107763" dir="2700000" algn="ctr" rotWithShape="0">
                          <a:schemeClr val="bg2">
                            <a:alpha val="50000"/>
                          </a:schemeClr>
                        </a:outerShdw>
                      </a:effectLst>
                    </a:spPr>
                    <a:txSp>
                      <a:txBody>
                        <a:bodyPr wrap="none" lIns="96661" tIns="48331" rIns="96661" bIns="48331"/>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lgn="ctr" defTabSz="966788">
                            <a:lnSpc>
                              <a:spcPct val="100000"/>
                            </a:lnSpc>
                            <a:spcBef>
                              <a:spcPct val="0"/>
                            </a:spcBef>
                            <a:spcAft>
                              <a:spcPct val="0"/>
                            </a:spcAft>
                            <a:buClrTx/>
                            <a:buFontTx/>
                            <a:buNone/>
                          </a:pPr>
                          <a:r>
                            <a:rPr lang="en-US" sz="1000" b="1" dirty="0" smtClean="0">
                              <a:solidFill>
                                <a:schemeClr val="bg1"/>
                              </a:solidFill>
                            </a:rPr>
                            <a:t>Region C</a:t>
                          </a:r>
                          <a:endParaRPr lang="en-US" sz="1300" b="1" dirty="0">
                            <a:solidFill>
                              <a:schemeClr val="bg1"/>
                            </a:solidFill>
                          </a:endParaRPr>
                        </a:p>
                      </a:txBody>
                      <a:useSpRect/>
                    </a:txSp>
                  </a:sp>
                  <a:sp>
                    <a:nvSpPr>
                      <a:cNvPr id="76" name="Rectangle 75"/>
                      <a:cNvSpPr/>
                    </a:nvSpPr>
                    <a:spPr bwMode="auto">
                      <a:xfrm>
                        <a:off x="1453591" y="5918457"/>
                        <a:ext cx="559220" cy="725475"/>
                      </a:xfrm>
                      <a:prstGeom prst="rect">
                        <a:avLst/>
                      </a:prstGeom>
                      <a:solidFill>
                        <a:schemeClr val="tx1"/>
                      </a:solidFill>
                      <a:ln w="9525" cap="flat" cmpd="sng" algn="ctr">
                        <a:noFill/>
                        <a:prstDash val="solid"/>
                        <a:round/>
                        <a:headEnd type="none" w="med" len="med"/>
                        <a:tailEnd type="none" w="med" len="med"/>
                      </a:ln>
                      <a:effectLst/>
                    </a:spPr>
                    <a:txSp>
                      <a:txBody>
                        <a:bodyPr vert="horz" wrap="square" lIns="91440" tIns="45720" rIns="91440" bIns="45720" numCol="1" rtlCol="0" anchor="t" anchorCtr="0" compatLnSpc="1">
                          <a:prstTxWarp prst="textNoShape">
                            <a:avLst/>
                          </a:prstTxWarp>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marL="1582738" marR="0" indent="-381000" algn="l" defTabSz="966788" rtl="0" eaLnBrk="1" fontAlgn="base" latinLnBrk="0" hangingPunct="1">
                            <a:lnSpc>
                              <a:spcPct val="90000"/>
                            </a:lnSpc>
                            <a:spcBef>
                              <a:spcPct val="20000"/>
                            </a:spcBef>
                            <a:spcAft>
                              <a:spcPct val="50000"/>
                            </a:spcAft>
                            <a:buClr>
                              <a:srgbClr val="990000"/>
                            </a:buClr>
                            <a:buSzTx/>
                            <a:buFont typeface="Wingdings" pitchFamily="2" charset="2"/>
                            <a:buChar char="Ø"/>
                            <a:tabLst/>
                          </a:pPr>
                          <a:endParaRPr kumimoji="0" lang="en-US" sz="1600" b="0" i="0" u="none" strike="noStrike" cap="none" normalizeH="0" baseline="0" dirty="0" smtClean="0">
                            <a:ln>
                              <a:noFill/>
                            </a:ln>
                            <a:solidFill>
                              <a:schemeClr val="tx1"/>
                            </a:solidFill>
                            <a:effectLst/>
                            <a:latin typeface="Arial" charset="0"/>
                            <a:cs typeface="Arial" charset="0"/>
                          </a:endParaRPr>
                        </a:p>
                      </a:txBody>
                      <a:useSpRect/>
                    </a:txSp>
                  </a:sp>
                  <a:sp>
                    <a:nvSpPr>
                      <a:cNvPr id="77" name="Rectangle 76"/>
                      <a:cNvSpPr/>
                    </a:nvSpPr>
                    <a:spPr bwMode="auto">
                      <a:xfrm>
                        <a:off x="2786721" y="5919937"/>
                        <a:ext cx="559220" cy="725475"/>
                      </a:xfrm>
                      <a:prstGeom prst="rect">
                        <a:avLst/>
                      </a:prstGeom>
                      <a:solidFill>
                        <a:schemeClr val="tx1"/>
                      </a:solidFill>
                      <a:ln w="9525" cap="flat" cmpd="sng" algn="ctr">
                        <a:noFill/>
                        <a:prstDash val="solid"/>
                        <a:round/>
                        <a:headEnd type="none" w="med" len="med"/>
                        <a:tailEnd type="none" w="med" len="med"/>
                      </a:ln>
                      <a:effectLst/>
                    </a:spPr>
                    <a:txSp>
                      <a:txBody>
                        <a:bodyPr vert="horz" wrap="square" lIns="91440" tIns="45720" rIns="91440" bIns="45720" numCol="1" rtlCol="0" anchor="t" anchorCtr="0" compatLnSpc="1">
                          <a:prstTxWarp prst="textNoShape">
                            <a:avLst/>
                          </a:prstTxWarp>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marL="1582738" marR="0" indent="-381000" algn="l" defTabSz="966788" rtl="0" eaLnBrk="1" fontAlgn="base" latinLnBrk="0" hangingPunct="1">
                            <a:lnSpc>
                              <a:spcPct val="90000"/>
                            </a:lnSpc>
                            <a:spcBef>
                              <a:spcPct val="20000"/>
                            </a:spcBef>
                            <a:spcAft>
                              <a:spcPct val="50000"/>
                            </a:spcAft>
                            <a:buClr>
                              <a:srgbClr val="990000"/>
                            </a:buClr>
                            <a:buSzTx/>
                            <a:buFont typeface="Wingdings" pitchFamily="2" charset="2"/>
                            <a:buChar char="Ø"/>
                            <a:tabLst/>
                          </a:pPr>
                          <a:endParaRPr kumimoji="0" lang="en-US" sz="1600" b="0" i="0" u="none" strike="noStrike" cap="none" normalizeH="0" baseline="0" dirty="0" smtClean="0">
                            <a:ln>
                              <a:noFill/>
                            </a:ln>
                            <a:solidFill>
                              <a:schemeClr val="tx1"/>
                            </a:solidFill>
                            <a:effectLst/>
                            <a:latin typeface="Arial" charset="0"/>
                            <a:cs typeface="Arial" charset="0"/>
                          </a:endParaRPr>
                        </a:p>
                      </a:txBody>
                      <a:useSpRect/>
                    </a:txSp>
                  </a:sp>
                  <a:sp>
                    <a:nvSpPr>
                      <a:cNvPr id="80" name="Rectangle 79"/>
                      <a:cNvSpPr/>
                    </a:nvSpPr>
                    <a:spPr bwMode="auto">
                      <a:xfrm>
                        <a:off x="4109495" y="5912527"/>
                        <a:ext cx="559220" cy="652985"/>
                      </a:xfrm>
                      <a:prstGeom prst="rect">
                        <a:avLst/>
                      </a:prstGeom>
                      <a:solidFill>
                        <a:schemeClr val="tx1"/>
                      </a:solidFill>
                      <a:ln w="9525" cap="flat" cmpd="sng" algn="ctr">
                        <a:noFill/>
                        <a:prstDash val="solid"/>
                        <a:round/>
                        <a:headEnd type="none" w="med" len="med"/>
                        <a:tailEnd type="none" w="med" len="med"/>
                      </a:ln>
                      <a:effectLst/>
                    </a:spPr>
                    <a:txSp>
                      <a:txBody>
                        <a:bodyPr vert="horz" wrap="square" lIns="91440" tIns="45720" rIns="91440" bIns="45720" numCol="1" rtlCol="0" anchor="t" anchorCtr="0" compatLnSpc="1">
                          <a:prstTxWarp prst="textNoShape">
                            <a:avLst/>
                          </a:prstTxWarp>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marL="1582738" marR="0" indent="-381000" algn="l" defTabSz="966788" rtl="0" eaLnBrk="1" fontAlgn="base" latinLnBrk="0" hangingPunct="1">
                            <a:lnSpc>
                              <a:spcPct val="90000"/>
                            </a:lnSpc>
                            <a:spcBef>
                              <a:spcPct val="20000"/>
                            </a:spcBef>
                            <a:spcAft>
                              <a:spcPct val="50000"/>
                            </a:spcAft>
                            <a:buClr>
                              <a:srgbClr val="990000"/>
                            </a:buClr>
                            <a:buSzTx/>
                            <a:buFont typeface="Wingdings" pitchFamily="2" charset="2"/>
                            <a:buChar char="Ø"/>
                            <a:tabLst/>
                          </a:pPr>
                          <a:endParaRPr kumimoji="0" lang="en-US" sz="1600" b="0" i="0" u="none" strike="noStrike" cap="none" normalizeH="0" baseline="0" dirty="0" smtClean="0">
                            <a:ln>
                              <a:noFill/>
                            </a:ln>
                            <a:solidFill>
                              <a:schemeClr val="tx1"/>
                            </a:solidFill>
                            <a:effectLst/>
                            <a:latin typeface="Arial" charset="0"/>
                            <a:cs typeface="Arial" charset="0"/>
                          </a:endParaRPr>
                        </a:p>
                      </a:txBody>
                      <a:useSpRect/>
                    </a:txSp>
                  </a:sp>
                  <a:sp>
                    <a:nvSpPr>
                      <a:cNvPr id="81" name="Rectangle 80"/>
                      <a:cNvSpPr/>
                    </a:nvSpPr>
                    <a:spPr bwMode="auto">
                      <a:xfrm>
                        <a:off x="5396756" y="5893303"/>
                        <a:ext cx="559220" cy="658417"/>
                      </a:xfrm>
                      <a:prstGeom prst="rect">
                        <a:avLst/>
                      </a:prstGeom>
                      <a:solidFill>
                        <a:schemeClr val="tx1"/>
                      </a:solidFill>
                      <a:ln w="9525" cap="flat" cmpd="sng" algn="ctr">
                        <a:noFill/>
                        <a:prstDash val="solid"/>
                        <a:round/>
                        <a:headEnd type="none" w="med" len="med"/>
                        <a:tailEnd type="none" w="med" len="med"/>
                      </a:ln>
                      <a:effectLst/>
                    </a:spPr>
                    <a:txSp>
                      <a:txBody>
                        <a:bodyPr vert="horz" wrap="square" lIns="91440" tIns="45720" rIns="91440" bIns="45720" numCol="1" rtlCol="0" anchor="t" anchorCtr="0" compatLnSpc="1">
                          <a:prstTxWarp prst="textNoShape">
                            <a:avLst/>
                          </a:prstTxWarp>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marL="1582738" marR="0" indent="-381000" algn="l" defTabSz="966788" rtl="0" eaLnBrk="1" fontAlgn="base" latinLnBrk="0" hangingPunct="1">
                            <a:lnSpc>
                              <a:spcPct val="90000"/>
                            </a:lnSpc>
                            <a:spcBef>
                              <a:spcPct val="20000"/>
                            </a:spcBef>
                            <a:spcAft>
                              <a:spcPct val="50000"/>
                            </a:spcAft>
                            <a:buClr>
                              <a:srgbClr val="990000"/>
                            </a:buClr>
                            <a:buSzTx/>
                            <a:buFont typeface="Wingdings" pitchFamily="2" charset="2"/>
                            <a:buChar char="Ø"/>
                            <a:tabLst/>
                          </a:pPr>
                          <a:endParaRPr kumimoji="0" lang="en-US" sz="1600" b="0" i="0" u="none" strike="noStrike" cap="none" normalizeH="0" baseline="0" dirty="0" smtClean="0">
                            <a:ln>
                              <a:noFill/>
                            </a:ln>
                            <a:solidFill>
                              <a:schemeClr val="tx1"/>
                            </a:solidFill>
                            <a:effectLst/>
                            <a:latin typeface="Arial" charset="0"/>
                            <a:cs typeface="Arial" charset="0"/>
                          </a:endParaRPr>
                        </a:p>
                      </a:txBody>
                      <a:useSpRect/>
                    </a:txSp>
                  </a:sp>
                  <a:sp>
                    <a:nvSpPr>
                      <a:cNvPr id="82" name="Rectangle 81"/>
                      <a:cNvSpPr/>
                    </a:nvSpPr>
                    <a:spPr bwMode="auto">
                      <a:xfrm>
                        <a:off x="6719529" y="5893304"/>
                        <a:ext cx="559220" cy="658416"/>
                      </a:xfrm>
                      <a:prstGeom prst="rect">
                        <a:avLst/>
                      </a:prstGeom>
                      <a:solidFill>
                        <a:schemeClr val="tx1"/>
                      </a:solidFill>
                      <a:ln w="9525" cap="flat" cmpd="sng" algn="ctr">
                        <a:noFill/>
                        <a:prstDash val="solid"/>
                        <a:round/>
                        <a:headEnd type="none" w="med" len="med"/>
                        <a:tailEnd type="none" w="med" len="med"/>
                      </a:ln>
                      <a:effectLst/>
                    </a:spPr>
                    <a:txSp>
                      <a:txBody>
                        <a:bodyPr vert="horz" wrap="square" lIns="91440" tIns="45720" rIns="91440" bIns="45720" numCol="1" rtlCol="0" anchor="t" anchorCtr="0" compatLnSpc="1">
                          <a:prstTxWarp prst="textNoShape">
                            <a:avLst/>
                          </a:prstTxWarp>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marL="1582738" marR="0" indent="-381000" algn="l" defTabSz="966788" rtl="0" eaLnBrk="1" fontAlgn="base" latinLnBrk="0" hangingPunct="1">
                            <a:lnSpc>
                              <a:spcPct val="90000"/>
                            </a:lnSpc>
                            <a:spcBef>
                              <a:spcPct val="20000"/>
                            </a:spcBef>
                            <a:spcAft>
                              <a:spcPct val="50000"/>
                            </a:spcAft>
                            <a:buClr>
                              <a:srgbClr val="990000"/>
                            </a:buClr>
                            <a:buSzTx/>
                            <a:buFont typeface="Wingdings" pitchFamily="2" charset="2"/>
                            <a:buChar char="Ø"/>
                            <a:tabLst/>
                          </a:pPr>
                          <a:endParaRPr kumimoji="0" lang="en-US" sz="1600" b="0" i="0" u="none" strike="noStrike" cap="none" normalizeH="0" baseline="0" dirty="0" smtClean="0">
                            <a:ln>
                              <a:noFill/>
                            </a:ln>
                            <a:solidFill>
                              <a:schemeClr val="tx1"/>
                            </a:solidFill>
                            <a:effectLst/>
                            <a:latin typeface="Arial" charset="0"/>
                            <a:cs typeface="Arial" charset="0"/>
                          </a:endParaRPr>
                        </a:p>
                      </a:txBody>
                      <a:useSpRect/>
                    </a:txSp>
                  </a:sp>
                  <a:sp>
                    <a:nvSpPr>
                      <a:cNvPr id="84" name="Rectangle 26"/>
                      <a:cNvSpPr>
                        <a:spLocks noChangeArrowheads="1"/>
                      </a:cNvSpPr>
                    </a:nvSpPr>
                    <a:spPr bwMode="auto">
                      <a:xfrm>
                        <a:off x="7687294" y="5658328"/>
                        <a:ext cx="1066800" cy="1084263"/>
                      </a:xfrm>
                      <a:prstGeom prst="rect">
                        <a:avLst/>
                      </a:prstGeom>
                      <a:gradFill rotWithShape="1">
                        <a:gsLst>
                          <a:gs pos="0">
                            <a:srgbClr val="FF9900">
                              <a:gamma/>
                              <a:shade val="46275"/>
                              <a:invGamma/>
                            </a:srgbClr>
                          </a:gs>
                          <a:gs pos="100000">
                            <a:srgbClr val="FF9900"/>
                          </a:gs>
                        </a:gsLst>
                        <a:lin ang="5400000" scaled="1"/>
                      </a:gradFill>
                      <a:ln w="28575">
                        <a:noFill/>
                        <a:miter lim="800000"/>
                        <a:headEnd type="none" w="sm" len="sm"/>
                        <a:tailEnd type="none" w="sm" len="sm"/>
                      </a:ln>
                      <a:effectLst>
                        <a:outerShdw dist="107763" dir="2700000" algn="ctr" rotWithShape="0">
                          <a:schemeClr val="bg2">
                            <a:alpha val="50000"/>
                          </a:schemeClr>
                        </a:outerShdw>
                      </a:effectLst>
                    </a:spPr>
                    <a:txSp>
                      <a:txBody>
                        <a:bodyPr wrap="none" lIns="96661" tIns="48331" rIns="96661" bIns="48331"/>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lgn="ctr" defTabSz="966788">
                            <a:lnSpc>
                              <a:spcPct val="100000"/>
                            </a:lnSpc>
                            <a:spcBef>
                              <a:spcPct val="0"/>
                            </a:spcBef>
                            <a:spcAft>
                              <a:spcPct val="0"/>
                            </a:spcAft>
                            <a:buClrTx/>
                            <a:buFontTx/>
                            <a:buNone/>
                          </a:pPr>
                          <a:r>
                            <a:rPr lang="en-US" sz="1000" b="1" dirty="0" smtClean="0">
                              <a:solidFill>
                                <a:schemeClr val="bg1"/>
                              </a:solidFill>
                            </a:rPr>
                            <a:t>Region D</a:t>
                          </a:r>
                          <a:endParaRPr lang="en-US" sz="1300" b="1" dirty="0">
                            <a:solidFill>
                              <a:schemeClr val="bg1"/>
                            </a:solidFill>
                          </a:endParaRPr>
                        </a:p>
                      </a:txBody>
                      <a:useSpRect/>
                    </a:txSp>
                  </a:sp>
                  <a:sp>
                    <a:nvSpPr>
                      <a:cNvPr id="86" name="Rectangle 85"/>
                      <a:cNvSpPr/>
                    </a:nvSpPr>
                    <a:spPr bwMode="auto">
                      <a:xfrm>
                        <a:off x="7963882" y="5894783"/>
                        <a:ext cx="559220" cy="656937"/>
                      </a:xfrm>
                      <a:prstGeom prst="rect">
                        <a:avLst/>
                      </a:prstGeom>
                      <a:solidFill>
                        <a:schemeClr val="tx1"/>
                      </a:solidFill>
                      <a:ln w="9525" cap="flat" cmpd="sng" algn="ctr">
                        <a:noFill/>
                        <a:prstDash val="solid"/>
                        <a:round/>
                        <a:headEnd type="none" w="med" len="med"/>
                        <a:tailEnd type="none" w="med" len="med"/>
                      </a:ln>
                      <a:effectLst/>
                    </a:spPr>
                    <a:txSp>
                      <a:txBody>
                        <a:bodyPr vert="horz" wrap="square" lIns="91440" tIns="45720" rIns="91440" bIns="45720" numCol="1" rtlCol="0" anchor="t" anchorCtr="0" compatLnSpc="1">
                          <a:prstTxWarp prst="textNoShape">
                            <a:avLst/>
                          </a:prstTxWarp>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marL="1582738" marR="0" indent="-381000" algn="l" defTabSz="966788" rtl="0" eaLnBrk="1" fontAlgn="base" latinLnBrk="0" hangingPunct="1">
                            <a:lnSpc>
                              <a:spcPct val="90000"/>
                            </a:lnSpc>
                            <a:spcBef>
                              <a:spcPct val="20000"/>
                            </a:spcBef>
                            <a:spcAft>
                              <a:spcPct val="50000"/>
                            </a:spcAft>
                            <a:buClr>
                              <a:srgbClr val="990000"/>
                            </a:buClr>
                            <a:buSzTx/>
                            <a:buFont typeface="Wingdings" pitchFamily="2" charset="2"/>
                            <a:buChar char="Ø"/>
                            <a:tabLst/>
                          </a:pPr>
                          <a:endParaRPr kumimoji="0" lang="en-US" sz="1600" b="0" i="0" u="none" strike="noStrike" cap="none" normalizeH="0" baseline="0" dirty="0" smtClean="0">
                            <a:ln>
                              <a:noFill/>
                            </a:ln>
                            <a:solidFill>
                              <a:schemeClr val="tx1"/>
                            </a:solidFill>
                            <a:effectLst/>
                            <a:latin typeface="Arial" charset="0"/>
                            <a:cs typeface="Arial" charset="0"/>
                          </a:endParaRPr>
                        </a:p>
                      </a:txBody>
                      <a:useSpRect/>
                    </a:txSp>
                  </a:sp>
                  <a:sp>
                    <a:nvSpPr>
                      <a:cNvPr id="88" name="TextBox 87"/>
                      <a:cNvSpPr txBox="1"/>
                    </a:nvSpPr>
                    <a:spPr>
                      <a:xfrm>
                        <a:off x="4113809" y="6542843"/>
                        <a:ext cx="644622" cy="230832"/>
                      </a:xfrm>
                      <a:prstGeom prst="rect">
                        <a:avLst/>
                      </a:prstGeom>
                      <a:noFill/>
                    </a:spPr>
                    <a:txSp>
                      <a:txBody>
                        <a:bodyPr wrap="square" rtlCol="0">
                          <a:spAutoFit/>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spcBef>
                              <a:spcPts val="0"/>
                            </a:spcBef>
                            <a:spcAft>
                              <a:spcPts val="0"/>
                            </a:spcAft>
                            <a:buNone/>
                          </a:pPr>
                          <a:r>
                            <a:rPr lang="en-US" sz="1000" b="1" dirty="0" smtClean="0">
                              <a:solidFill>
                                <a:schemeClr val="bg1"/>
                              </a:solidFill>
                            </a:rPr>
                            <a:t>NGES</a:t>
                          </a:r>
                          <a:endParaRPr lang="en-US" sz="1000" b="1" dirty="0">
                            <a:solidFill>
                              <a:schemeClr val="bg1"/>
                            </a:solidFill>
                          </a:endParaRPr>
                        </a:p>
                      </a:txBody>
                      <a:useSpRect/>
                    </a:txSp>
                  </a:sp>
                  <a:sp>
                    <a:nvSpPr>
                      <a:cNvPr id="94" name="TextBox 93"/>
                      <a:cNvSpPr txBox="1"/>
                    </a:nvSpPr>
                    <a:spPr>
                      <a:xfrm>
                        <a:off x="5411428" y="6533964"/>
                        <a:ext cx="644622" cy="230832"/>
                      </a:xfrm>
                      <a:prstGeom prst="rect">
                        <a:avLst/>
                      </a:prstGeom>
                      <a:noFill/>
                    </a:spPr>
                    <a:txSp>
                      <a:txBody>
                        <a:bodyPr wrap="square" rtlCol="0">
                          <a:spAutoFit/>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spcBef>
                              <a:spcPts val="0"/>
                            </a:spcBef>
                            <a:spcAft>
                              <a:spcPts val="0"/>
                            </a:spcAft>
                            <a:buNone/>
                          </a:pPr>
                          <a:r>
                            <a:rPr lang="en-US" sz="1000" b="1" dirty="0" smtClean="0">
                              <a:solidFill>
                                <a:schemeClr val="bg1"/>
                              </a:solidFill>
                            </a:rPr>
                            <a:t>NGAS</a:t>
                          </a:r>
                          <a:endParaRPr lang="en-US" sz="1000" b="1" dirty="0">
                            <a:solidFill>
                              <a:schemeClr val="bg1"/>
                            </a:solidFill>
                          </a:endParaRPr>
                        </a:p>
                      </a:txBody>
                      <a:useSpRect/>
                    </a:txSp>
                  </a:sp>
                  <a:sp>
                    <a:nvSpPr>
                      <a:cNvPr id="95" name="TextBox 94"/>
                      <a:cNvSpPr txBox="1"/>
                    </a:nvSpPr>
                    <a:spPr>
                      <a:xfrm>
                        <a:off x="6707568" y="6542843"/>
                        <a:ext cx="644622" cy="230832"/>
                      </a:xfrm>
                      <a:prstGeom prst="rect">
                        <a:avLst/>
                      </a:prstGeom>
                      <a:noFill/>
                    </a:spPr>
                    <a:txSp>
                      <a:txBody>
                        <a:bodyPr wrap="square" rtlCol="0">
                          <a:spAutoFit/>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spcBef>
                              <a:spcPts val="0"/>
                            </a:spcBef>
                            <a:spcAft>
                              <a:spcPts val="0"/>
                            </a:spcAft>
                            <a:buNone/>
                          </a:pPr>
                          <a:r>
                            <a:rPr lang="en-US" sz="1000" b="1" dirty="0" smtClean="0">
                              <a:solidFill>
                                <a:schemeClr val="bg1"/>
                              </a:solidFill>
                            </a:rPr>
                            <a:t>NGTS</a:t>
                          </a:r>
                          <a:endParaRPr lang="en-US" sz="1000" b="1" dirty="0">
                            <a:solidFill>
                              <a:schemeClr val="bg1"/>
                            </a:solidFill>
                          </a:endParaRPr>
                        </a:p>
                      </a:txBody>
                      <a:useSpRect/>
                    </a:txSp>
                  </a:sp>
                  <a:sp>
                    <a:nvSpPr>
                      <a:cNvPr id="96" name="TextBox 95"/>
                      <a:cNvSpPr txBox="1"/>
                    </a:nvSpPr>
                    <a:spPr>
                      <a:xfrm>
                        <a:off x="7969677" y="6525086"/>
                        <a:ext cx="644622" cy="230832"/>
                      </a:xfrm>
                      <a:prstGeom prst="rect">
                        <a:avLst/>
                      </a:prstGeom>
                      <a:noFill/>
                    </a:spPr>
                    <a:txSp>
                      <a:txBody>
                        <a:bodyPr wrap="square" rtlCol="0">
                          <a:spAutoFit/>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spcBef>
                              <a:spcPts val="0"/>
                            </a:spcBef>
                            <a:spcAft>
                              <a:spcPts val="0"/>
                            </a:spcAft>
                            <a:buNone/>
                          </a:pPr>
                          <a:r>
                            <a:rPr lang="en-US" sz="1000" b="1" dirty="0" smtClean="0">
                              <a:solidFill>
                                <a:schemeClr val="bg1"/>
                              </a:solidFill>
                            </a:rPr>
                            <a:t>NGIS</a:t>
                          </a:r>
                          <a:endParaRPr lang="en-US" sz="1000" b="1" dirty="0">
                            <a:solidFill>
                              <a:schemeClr val="bg1"/>
                            </a:solidFill>
                          </a:endParaRPr>
                        </a:p>
                      </a:txBody>
                      <a:useSpRect/>
                    </a:txSp>
                  </a:sp>
                </lc:lockedCanvas>
              </a:graphicData>
            </a:graphic>
          </wp:inline>
        </w:drawing>
      </w:r>
      <w:bookmarkStart w:id="19" w:name="_Toc168885491"/>
    </w:p>
    <w:p w:rsidR="002D2DDB" w:rsidRDefault="002D2DDB"/>
    <w:p w:rsidR="00D02F8E" w:rsidRDefault="00D02F8E" w:rsidP="00026FDD">
      <w:pPr>
        <w:pStyle w:val="Heading2"/>
        <w:rPr>
          <w:sz w:val="24"/>
          <w:szCs w:val="24"/>
        </w:rPr>
      </w:pPr>
    </w:p>
    <w:p w:rsidR="00E05966" w:rsidRPr="00AB169F" w:rsidRDefault="00B37B62" w:rsidP="001F6922">
      <w:pPr>
        <w:pStyle w:val="Heading1"/>
        <w:numPr>
          <w:ilvl w:val="2"/>
          <w:numId w:val="27"/>
        </w:numPr>
        <w:rPr>
          <w:sz w:val="28"/>
          <w:szCs w:val="28"/>
        </w:rPr>
      </w:pPr>
      <w:bookmarkStart w:id="20" w:name="_Toc290505463"/>
      <w:r w:rsidRPr="00AB169F">
        <w:rPr>
          <w:sz w:val="28"/>
          <w:szCs w:val="28"/>
        </w:rPr>
        <w:t>Campus/Region Organization</w:t>
      </w:r>
      <w:r w:rsidR="00AB169F" w:rsidRPr="00AB169F">
        <w:rPr>
          <w:sz w:val="28"/>
          <w:szCs w:val="28"/>
        </w:rPr>
        <w:t>al Structure</w:t>
      </w:r>
      <w:bookmarkEnd w:id="20"/>
    </w:p>
    <w:p w:rsidR="00D02F8E" w:rsidRDefault="002B3577" w:rsidP="00D02F8E">
      <w:pPr>
        <w:rPr>
          <w:rFonts w:ascii="Arial" w:hAnsi="Arial" w:cs="Arial"/>
        </w:rPr>
      </w:pPr>
      <w:r>
        <w:rPr>
          <w:rFonts w:ascii="Arial" w:hAnsi="Arial" w:cs="Arial"/>
        </w:rPr>
        <w:t>The organizational structure provided below is only a suggestion to the Adelante campus/regions and is not intended to dictate how the organization will be configured.  Each campus/regional chapter is responsible for planning their</w:t>
      </w:r>
      <w:r w:rsidRPr="00B72670">
        <w:rPr>
          <w:rFonts w:ascii="Arial" w:hAnsi="Arial" w:cs="Arial"/>
        </w:rPr>
        <w:t xml:space="preserve"> own events</w:t>
      </w:r>
      <w:r>
        <w:rPr>
          <w:rFonts w:ascii="Arial" w:hAnsi="Arial" w:cs="Arial"/>
        </w:rPr>
        <w:t xml:space="preserve"> depending on the </w:t>
      </w:r>
      <w:r w:rsidRPr="00B72670">
        <w:rPr>
          <w:rFonts w:ascii="Arial" w:hAnsi="Arial" w:cs="Arial"/>
        </w:rPr>
        <w:t>needs and interests of their local/regional membership.</w:t>
      </w:r>
      <w:r w:rsidRPr="00811D96">
        <w:rPr>
          <w:rFonts w:ascii="Arial" w:hAnsi="Arial" w:cs="Arial"/>
        </w:rPr>
        <w:t xml:space="preserve"> </w:t>
      </w:r>
      <w:r>
        <w:rPr>
          <w:rFonts w:ascii="Arial" w:hAnsi="Arial" w:cs="Arial"/>
        </w:rPr>
        <w:t>Below is the suggested structure for the Adelante Campus/Regions:</w:t>
      </w:r>
      <w:r w:rsidR="00D02F8E" w:rsidRPr="00811D96">
        <w:rPr>
          <w:rFonts w:ascii="Arial" w:hAnsi="Arial" w:cs="Arial"/>
        </w:rPr>
        <w:t xml:space="preserve">  </w:t>
      </w:r>
    </w:p>
    <w:p w:rsidR="00E05966" w:rsidRDefault="002D2DDB" w:rsidP="00026FDD">
      <w:pPr>
        <w:pStyle w:val="Heading2"/>
        <w:rPr>
          <w:sz w:val="24"/>
          <w:szCs w:val="24"/>
        </w:rPr>
      </w:pPr>
      <w:r>
        <w:rPr>
          <w:noProof/>
          <w:sz w:val="24"/>
          <w:szCs w:val="24"/>
        </w:rPr>
        <w:lastRenderedPageBreak/>
        <w:drawing>
          <wp:inline distT="0" distB="0" distL="0" distR="0">
            <wp:extent cx="5943600" cy="4637405"/>
            <wp:effectExtent l="0" t="0" r="0" b="0"/>
            <wp:docPr id="12" name="Objec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181642" cy="6383045"/>
                      <a:chOff x="747204" y="133165"/>
                      <a:chExt cx="8181642" cy="6383045"/>
                    </a:xfrm>
                  </a:grpSpPr>
                  <a:sp>
                    <a:nvSpPr>
                      <a:cNvPr id="147" name="Rectangle 2"/>
                      <a:cNvSpPr txBox="1">
                        <a:spLocks noChangeArrowheads="1"/>
                      </a:cNvSpPr>
                    </a:nvSpPr>
                    <a:spPr>
                      <a:xfrm>
                        <a:off x="747204" y="133165"/>
                        <a:ext cx="8139344" cy="781235"/>
                      </a:xfrm>
                      <a:prstGeom prst="rect">
                        <a:avLst/>
                      </a:prstGeom>
                    </a:spPr>
                    <a:txSp>
                      <a:txBody>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marL="0" marR="0" lvl="0" indent="0" defTabSz="914400" eaLnBrk="0" latinLnBrk="0" hangingPunct="0">
                            <a:lnSpc>
                              <a:spcPct val="100000"/>
                            </a:lnSpc>
                            <a:spcBef>
                              <a:spcPct val="0"/>
                            </a:spcBef>
                            <a:spcAft>
                              <a:spcPct val="0"/>
                            </a:spcAft>
                            <a:buClrTx/>
                            <a:buSzTx/>
                            <a:buNone/>
                            <a:tabLst/>
                            <a:defRPr/>
                          </a:pPr>
                          <a:r>
                            <a:rPr lang="en-US" sz="3000" dirty="0" smtClean="0">
                              <a:effectLst>
                                <a:outerShdw blurRad="38100" dist="38100" dir="2700000" algn="tl">
                                  <a:srgbClr val="C0C0C0"/>
                                </a:outerShdw>
                              </a:effectLst>
                              <a:latin typeface="Tahoma" pitchFamily="34" charset="0"/>
                            </a:rPr>
                            <a:t>Organizational Structure – Campus / Regional</a:t>
                          </a:r>
                          <a:endParaRPr lang="en-US" sz="3000" dirty="0">
                            <a:effectLst>
                              <a:outerShdw blurRad="38100" dist="38100" dir="2700000" algn="tl">
                                <a:srgbClr val="C0C0C0"/>
                              </a:outerShdw>
                            </a:effectLst>
                            <a:latin typeface="Tahoma" pitchFamily="34" charset="0"/>
                          </a:endParaRPr>
                        </a:p>
                      </a:txBody>
                      <a:useSpRect/>
                    </a:txSp>
                  </a:sp>
                  <a:sp>
                    <a:nvSpPr>
                      <a:cNvPr id="40" name="Rectangle 39"/>
                      <a:cNvSpPr>
                        <a:spLocks noChangeArrowheads="1"/>
                      </a:cNvSpPr>
                    </a:nvSpPr>
                    <a:spPr bwMode="auto">
                      <a:xfrm>
                        <a:off x="1055172" y="1073669"/>
                        <a:ext cx="5237162" cy="3436187"/>
                      </a:xfrm>
                      <a:prstGeom prst="rect">
                        <a:avLst/>
                      </a:prstGeom>
                      <a:solidFill>
                        <a:srgbClr val="FFECB2"/>
                      </a:solidFill>
                      <a:ln w="12700" algn="ctr">
                        <a:solidFill>
                          <a:schemeClr val="tx1"/>
                        </a:solidFill>
                        <a:miter lim="800000"/>
                        <a:headEnd/>
                        <a:tailEnd/>
                      </a:ln>
                    </a:spPr>
                    <a:txSp>
                      <a:txBody>
                        <a:bodyPr wrap="none" lIns="102180" tIns="51090" rIns="102180" bIns="51090" anchor="ct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lgn="ctr" defTabSz="1022350"/>
                          <a:endParaRPr lang="en-US" sz="2600" dirty="0">
                            <a:cs typeface="Arial" charset="0"/>
                          </a:endParaRPr>
                        </a:p>
                      </a:txBody>
                      <a:useSpRect/>
                    </a:txSp>
                  </a:sp>
                  <a:sp>
                    <a:nvSpPr>
                      <a:cNvPr id="41" name="Rectangle 40"/>
                      <a:cNvSpPr>
                        <a:spLocks noChangeArrowheads="1"/>
                      </a:cNvSpPr>
                    </a:nvSpPr>
                    <a:spPr bwMode="auto">
                      <a:xfrm>
                        <a:off x="1132959" y="3451170"/>
                        <a:ext cx="1619250" cy="855662"/>
                      </a:xfrm>
                      <a:prstGeom prst="rect">
                        <a:avLst/>
                      </a:prstGeom>
                      <a:gradFill rotWithShape="1">
                        <a:gsLst>
                          <a:gs pos="0">
                            <a:srgbClr val="FF9900">
                              <a:gamma/>
                              <a:shade val="46275"/>
                              <a:invGamma/>
                            </a:srgbClr>
                          </a:gs>
                          <a:gs pos="100000">
                            <a:srgbClr val="FF9900"/>
                          </a:gs>
                        </a:gsLst>
                        <a:lin ang="5400000" scaled="1"/>
                      </a:gradFill>
                      <a:ln w="12700" algn="ctr">
                        <a:noFill/>
                        <a:miter lim="800000"/>
                        <a:headEnd type="none" w="sm" len="sm"/>
                        <a:tailEnd type="none" w="sm" len="sm"/>
                      </a:ln>
                      <a:effectLst>
                        <a:outerShdw dist="107763" dir="2700000" algn="ctr" rotWithShape="0">
                          <a:schemeClr val="bg2">
                            <a:alpha val="50000"/>
                          </a:schemeClr>
                        </a:outerShdw>
                      </a:effectLst>
                    </a:spPr>
                    <a:txSp>
                      <a:txBody>
                        <a:bodyPr wrap="none" lIns="96661" tIns="48331" rIns="96661" bIns="48331"/>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lgn="r" defTabSz="966788">
                            <a:buNone/>
                            <a:defRPr/>
                          </a:pPr>
                          <a:endParaRPr lang="en-US" sz="1000" b="1" dirty="0">
                            <a:solidFill>
                              <a:schemeClr val="bg1"/>
                            </a:solidFill>
                          </a:endParaRPr>
                        </a:p>
                        <a:p>
                          <a:pPr algn="r" defTabSz="966788">
                            <a:defRPr/>
                          </a:pPr>
                          <a:endParaRPr lang="en-US" sz="1000" b="1" dirty="0">
                            <a:solidFill>
                              <a:schemeClr val="bg1"/>
                            </a:solidFill>
                          </a:endParaRPr>
                        </a:p>
                      </a:txBody>
                      <a:useSpRect/>
                    </a:txSp>
                  </a:sp>
                  <a:sp>
                    <a:nvSpPr>
                      <a:cNvPr id="42" name="Rectangle 41"/>
                      <a:cNvSpPr>
                        <a:spLocks noChangeArrowheads="1"/>
                      </a:cNvSpPr>
                    </a:nvSpPr>
                    <a:spPr bwMode="auto">
                      <a:xfrm>
                        <a:off x="4660384" y="3444820"/>
                        <a:ext cx="1544638" cy="887412"/>
                      </a:xfrm>
                      <a:prstGeom prst="rect">
                        <a:avLst/>
                      </a:prstGeom>
                      <a:gradFill rotWithShape="1">
                        <a:gsLst>
                          <a:gs pos="0">
                            <a:srgbClr val="FF9900">
                              <a:gamma/>
                              <a:shade val="46275"/>
                              <a:invGamma/>
                            </a:srgbClr>
                          </a:gs>
                          <a:gs pos="100000">
                            <a:srgbClr val="FF9900"/>
                          </a:gs>
                        </a:gsLst>
                        <a:lin ang="5400000" scaled="1"/>
                      </a:gradFill>
                      <a:ln w="12700" algn="ctr">
                        <a:noFill/>
                        <a:miter lim="800000"/>
                        <a:headEnd type="none" w="sm" len="sm"/>
                        <a:tailEnd type="none" w="sm" len="sm"/>
                      </a:ln>
                      <a:effectLst>
                        <a:outerShdw dist="107763" dir="2700000" algn="ctr" rotWithShape="0">
                          <a:schemeClr val="bg2">
                            <a:alpha val="50000"/>
                          </a:schemeClr>
                        </a:outerShdw>
                      </a:effectLst>
                    </a:spPr>
                    <a:txSp>
                      <a:txBody>
                        <a:bodyPr wrap="none" lIns="96661" tIns="48331" rIns="96661" bIns="48331"/>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lgn="r" defTabSz="966788">
                            <a:defRPr/>
                          </a:pPr>
                          <a:endParaRPr lang="en-US" sz="1000" b="1" dirty="0">
                            <a:solidFill>
                              <a:schemeClr val="bg1"/>
                            </a:solidFill>
                          </a:endParaRPr>
                        </a:p>
                      </a:txBody>
                      <a:useSpRect/>
                    </a:txSp>
                  </a:sp>
                  <a:sp>
                    <a:nvSpPr>
                      <a:cNvPr id="43" name="Rectangle 42"/>
                      <a:cNvSpPr>
                        <a:spLocks noChangeArrowheads="1"/>
                      </a:cNvSpPr>
                    </a:nvSpPr>
                    <a:spPr bwMode="auto">
                      <a:xfrm>
                        <a:off x="4654034" y="2408182"/>
                        <a:ext cx="1530350" cy="917575"/>
                      </a:xfrm>
                      <a:prstGeom prst="rect">
                        <a:avLst/>
                      </a:prstGeom>
                      <a:gradFill rotWithShape="1">
                        <a:gsLst>
                          <a:gs pos="0">
                            <a:srgbClr val="FF9900">
                              <a:gamma/>
                              <a:shade val="46275"/>
                              <a:invGamma/>
                            </a:srgbClr>
                          </a:gs>
                          <a:gs pos="100000">
                            <a:srgbClr val="FF9900"/>
                          </a:gs>
                        </a:gsLst>
                        <a:lin ang="5400000" scaled="1"/>
                      </a:gradFill>
                      <a:ln w="12700" algn="ctr">
                        <a:noFill/>
                        <a:miter lim="800000"/>
                        <a:headEnd type="none" w="sm" len="sm"/>
                        <a:tailEnd type="none" w="sm" len="sm"/>
                      </a:ln>
                      <a:effectLst>
                        <a:outerShdw dist="107763" dir="2700000" algn="ctr" rotWithShape="0">
                          <a:schemeClr val="bg2">
                            <a:alpha val="50000"/>
                          </a:schemeClr>
                        </a:outerShdw>
                      </a:effectLst>
                    </a:spPr>
                    <a:txSp>
                      <a:txBody>
                        <a:bodyPr wrap="none" lIns="96661" tIns="48331" rIns="96661" bIns="48331"/>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lgn="r" defTabSz="966788">
                            <a:buNone/>
                            <a:defRPr/>
                          </a:pPr>
                          <a:endParaRPr lang="en-US" sz="1000" b="1" dirty="0"/>
                        </a:p>
                      </a:txBody>
                      <a:useSpRect/>
                    </a:txSp>
                  </a:sp>
                  <a:sp>
                    <a:nvSpPr>
                      <a:cNvPr id="44" name="Rectangle 43"/>
                      <a:cNvSpPr>
                        <a:spLocks noChangeArrowheads="1"/>
                      </a:cNvSpPr>
                    </a:nvSpPr>
                    <a:spPr bwMode="auto">
                      <a:xfrm>
                        <a:off x="2839522" y="2408183"/>
                        <a:ext cx="1681162" cy="935038"/>
                      </a:xfrm>
                      <a:prstGeom prst="rect">
                        <a:avLst/>
                      </a:prstGeom>
                      <a:gradFill rotWithShape="1">
                        <a:gsLst>
                          <a:gs pos="0">
                            <a:srgbClr val="FF9900">
                              <a:gamma/>
                              <a:shade val="46275"/>
                              <a:invGamma/>
                            </a:srgbClr>
                          </a:gs>
                          <a:gs pos="100000">
                            <a:srgbClr val="FF9900"/>
                          </a:gs>
                        </a:gsLst>
                        <a:lin ang="5400000" scaled="1"/>
                      </a:gradFill>
                      <a:ln w="12700" algn="ctr">
                        <a:noFill/>
                        <a:miter lim="800000"/>
                        <a:headEnd type="none" w="sm" len="sm"/>
                        <a:tailEnd type="none" w="sm" len="sm"/>
                      </a:ln>
                      <a:effectLst>
                        <a:outerShdw dist="107763" dir="2700000" algn="ctr" rotWithShape="0">
                          <a:schemeClr val="bg2">
                            <a:alpha val="50000"/>
                          </a:schemeClr>
                        </a:outerShdw>
                      </a:effectLst>
                    </a:spPr>
                    <a:txSp>
                      <a:txBody>
                        <a:bodyPr wrap="none" lIns="96661" tIns="48331" rIns="96661" bIns="48331"/>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lgn="r" defTabSz="966788">
                            <a:buNone/>
                            <a:defRPr/>
                          </a:pPr>
                          <a:endParaRPr lang="en-US" sz="1000" b="1" dirty="0">
                            <a:solidFill>
                              <a:schemeClr val="bg1"/>
                            </a:solidFill>
                          </a:endParaRPr>
                        </a:p>
                      </a:txBody>
                      <a:useSpRect/>
                    </a:txSp>
                  </a:sp>
                  <a:sp>
                    <a:nvSpPr>
                      <a:cNvPr id="46" name="Rectangle 45"/>
                      <a:cNvSpPr>
                        <a:spLocks noChangeArrowheads="1"/>
                      </a:cNvSpPr>
                    </a:nvSpPr>
                    <a:spPr bwMode="auto">
                      <a:xfrm>
                        <a:off x="2858572" y="3449582"/>
                        <a:ext cx="1660525" cy="889000"/>
                      </a:xfrm>
                      <a:prstGeom prst="rect">
                        <a:avLst/>
                      </a:prstGeom>
                      <a:gradFill rotWithShape="1">
                        <a:gsLst>
                          <a:gs pos="0">
                            <a:srgbClr val="FF9900">
                              <a:gamma/>
                              <a:shade val="46275"/>
                              <a:invGamma/>
                            </a:srgbClr>
                          </a:gs>
                          <a:gs pos="100000">
                            <a:srgbClr val="FF9900"/>
                          </a:gs>
                        </a:gsLst>
                        <a:lin ang="5400000" scaled="1"/>
                      </a:gradFill>
                      <a:ln w="12700" algn="ctr">
                        <a:noFill/>
                        <a:miter lim="800000"/>
                        <a:headEnd type="none" w="sm" len="sm"/>
                        <a:tailEnd type="none" w="sm" len="sm"/>
                      </a:ln>
                      <a:effectLst>
                        <a:outerShdw dist="107763" dir="2700000" algn="ctr" rotWithShape="0">
                          <a:schemeClr val="bg2">
                            <a:alpha val="50000"/>
                          </a:schemeClr>
                        </a:outerShdw>
                      </a:effectLst>
                    </a:spPr>
                    <a:txSp>
                      <a:txBody>
                        <a:bodyPr wrap="none" lIns="96661" tIns="48331" rIns="96661" bIns="48331"/>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lgn="r" defTabSz="966788">
                            <a:buNone/>
                            <a:defRPr/>
                          </a:pPr>
                          <a:endParaRPr lang="en-US" sz="1000" b="1" dirty="0">
                            <a:solidFill>
                              <a:schemeClr val="bg1"/>
                            </a:solidFill>
                          </a:endParaRPr>
                        </a:p>
                      </a:txBody>
                      <a:useSpRect/>
                    </a:txSp>
                  </a:sp>
                  <a:sp>
                    <a:nvSpPr>
                      <a:cNvPr id="50" name="TextBox 49"/>
                      <a:cNvSpPr txBox="1"/>
                    </a:nvSpPr>
                    <a:spPr>
                      <a:xfrm>
                        <a:off x="3653760" y="2614582"/>
                        <a:ext cx="840088" cy="230832"/>
                      </a:xfrm>
                      <a:prstGeom prst="rect">
                        <a:avLst/>
                      </a:prstGeom>
                      <a:noFill/>
                    </a:spPr>
                    <a:txSp>
                      <a:txBody>
                        <a:bodyPr wrap="square" rtlCol="0">
                          <a:spAutoFit/>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buNone/>
                          </a:pPr>
                          <a:r>
                            <a:rPr lang="en-US" sz="1000" b="1" dirty="0" smtClean="0">
                              <a:solidFill>
                                <a:schemeClr val="bg1"/>
                              </a:solidFill>
                            </a:rPr>
                            <a:t>Secretary</a:t>
                          </a:r>
                          <a:endParaRPr lang="en-US" sz="1000" b="1" dirty="0">
                            <a:solidFill>
                              <a:schemeClr val="bg1"/>
                            </a:solidFill>
                          </a:endParaRPr>
                        </a:p>
                      </a:txBody>
                      <a:useSpRect/>
                    </a:txSp>
                  </a:sp>
                  <a:sp>
                    <a:nvSpPr>
                      <a:cNvPr id="52" name="TextBox 51"/>
                      <a:cNvSpPr txBox="1"/>
                    </a:nvSpPr>
                    <a:spPr>
                      <a:xfrm>
                        <a:off x="1802289" y="3657451"/>
                        <a:ext cx="937071" cy="369332"/>
                      </a:xfrm>
                      <a:prstGeom prst="rect">
                        <a:avLst/>
                      </a:prstGeom>
                      <a:noFill/>
                    </a:spPr>
                    <a:txSp>
                      <a:txBody>
                        <a:bodyPr wrap="square" rtlCol="0">
                          <a:spAutoFit/>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buNone/>
                          </a:pPr>
                          <a:r>
                            <a:rPr lang="en-US" sz="1000" b="1" dirty="0" smtClean="0">
                              <a:solidFill>
                                <a:schemeClr val="bg1"/>
                              </a:solidFill>
                            </a:rPr>
                            <a:t>Awards &amp; Recognition</a:t>
                          </a:r>
                          <a:endParaRPr lang="en-US" sz="1000" b="1" dirty="0">
                            <a:solidFill>
                              <a:schemeClr val="bg1"/>
                            </a:solidFill>
                          </a:endParaRPr>
                        </a:p>
                      </a:txBody>
                      <a:useSpRect/>
                    </a:txSp>
                  </a:sp>
                  <a:sp>
                    <a:nvSpPr>
                      <a:cNvPr id="57" name="TextBox 56"/>
                      <a:cNvSpPr txBox="1"/>
                    </a:nvSpPr>
                    <a:spPr>
                      <a:xfrm>
                        <a:off x="5385577" y="3643597"/>
                        <a:ext cx="808601" cy="369332"/>
                      </a:xfrm>
                      <a:prstGeom prst="rect">
                        <a:avLst/>
                      </a:prstGeom>
                      <a:noFill/>
                    </a:spPr>
                    <a:txSp>
                      <a:txBody>
                        <a:bodyPr wrap="square" rtlCol="0">
                          <a:spAutoFit/>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buNone/>
                          </a:pPr>
                          <a:r>
                            <a:rPr lang="en-US" sz="1000" b="1" dirty="0" smtClean="0">
                              <a:solidFill>
                                <a:schemeClr val="bg1"/>
                              </a:solidFill>
                            </a:rPr>
                            <a:t>Strategic Planning</a:t>
                          </a:r>
                          <a:endParaRPr lang="en-US" sz="1000" b="1" dirty="0">
                            <a:solidFill>
                              <a:schemeClr val="bg1"/>
                            </a:solidFill>
                          </a:endParaRPr>
                        </a:p>
                      </a:txBody>
                      <a:useSpRect/>
                    </a:txSp>
                  </a:sp>
                  <a:sp>
                    <a:nvSpPr>
                      <a:cNvPr id="63" name="TextBox 62"/>
                      <a:cNvSpPr txBox="1"/>
                    </a:nvSpPr>
                    <a:spPr>
                      <a:xfrm>
                        <a:off x="5423364" y="2608285"/>
                        <a:ext cx="784670" cy="230832"/>
                      </a:xfrm>
                      <a:prstGeom prst="rect">
                        <a:avLst/>
                      </a:prstGeom>
                      <a:noFill/>
                    </a:spPr>
                    <a:txSp>
                      <a:txBody>
                        <a:bodyPr wrap="square" rtlCol="0">
                          <a:spAutoFit/>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buNone/>
                          </a:pPr>
                          <a:r>
                            <a:rPr lang="en-US" sz="1000" b="1" dirty="0" smtClean="0">
                              <a:solidFill>
                                <a:schemeClr val="bg1"/>
                              </a:solidFill>
                            </a:rPr>
                            <a:t>Treasurer</a:t>
                          </a:r>
                          <a:endParaRPr lang="en-US" sz="1000" b="1" dirty="0">
                            <a:solidFill>
                              <a:schemeClr val="bg1"/>
                            </a:solidFill>
                          </a:endParaRPr>
                        </a:p>
                      </a:txBody>
                      <a:useSpRect/>
                    </a:txSp>
                  </a:sp>
                  <a:sp>
                    <a:nvSpPr>
                      <a:cNvPr id="65" name="Rectangle 64"/>
                      <a:cNvSpPr>
                        <a:spLocks noChangeArrowheads="1"/>
                      </a:cNvSpPr>
                    </a:nvSpPr>
                    <a:spPr bwMode="auto">
                      <a:xfrm>
                        <a:off x="2856346" y="1419025"/>
                        <a:ext cx="1617663" cy="920750"/>
                      </a:xfrm>
                      <a:prstGeom prst="rect">
                        <a:avLst/>
                      </a:prstGeom>
                      <a:gradFill rotWithShape="1">
                        <a:gsLst>
                          <a:gs pos="0">
                            <a:srgbClr val="FF9900">
                              <a:gamma/>
                              <a:shade val="46275"/>
                              <a:invGamma/>
                            </a:srgbClr>
                          </a:gs>
                          <a:gs pos="100000">
                            <a:srgbClr val="FF9900"/>
                          </a:gs>
                        </a:gsLst>
                        <a:lin ang="5400000" scaled="1"/>
                      </a:gradFill>
                      <a:ln w="12700" algn="ctr">
                        <a:noFill/>
                        <a:miter lim="800000"/>
                        <a:headEnd type="none" w="sm" len="sm"/>
                        <a:tailEnd type="none" w="sm" len="sm"/>
                      </a:ln>
                      <a:effectLst>
                        <a:outerShdw dist="107763" dir="2700000" algn="ctr" rotWithShape="0">
                          <a:schemeClr val="bg2">
                            <a:alpha val="50000"/>
                          </a:schemeClr>
                        </a:outerShdw>
                      </a:effectLst>
                    </a:spPr>
                    <a:txSp>
                      <a:txBody>
                        <a:bodyPr wrap="none" lIns="96661" tIns="48331" rIns="96661" bIns="48331"/>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lgn="r" defTabSz="966788">
                            <a:buNone/>
                            <a:defRPr/>
                          </a:pPr>
                          <a:endParaRPr lang="en-US" sz="1000" b="1" dirty="0">
                            <a:solidFill>
                              <a:schemeClr val="bg1"/>
                            </a:solidFill>
                          </a:endParaRPr>
                        </a:p>
                      </a:txBody>
                      <a:useSpRect/>
                    </a:txSp>
                  </a:sp>
                  <a:sp>
                    <a:nvSpPr>
                      <a:cNvPr id="66" name="TextBox 65"/>
                      <a:cNvSpPr txBox="1"/>
                    </a:nvSpPr>
                    <a:spPr>
                      <a:xfrm>
                        <a:off x="3712688" y="1551315"/>
                        <a:ext cx="627233" cy="230832"/>
                      </a:xfrm>
                      <a:prstGeom prst="rect">
                        <a:avLst/>
                      </a:prstGeom>
                      <a:noFill/>
                    </a:spPr>
                    <a:txSp>
                      <a:txBody>
                        <a:bodyPr wrap="square" rtlCol="0">
                          <a:spAutoFit/>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buNone/>
                          </a:pPr>
                          <a:r>
                            <a:rPr lang="en-US" sz="1000" b="1" dirty="0" smtClean="0">
                              <a:solidFill>
                                <a:schemeClr val="bg1"/>
                              </a:solidFill>
                            </a:rPr>
                            <a:t>Chair</a:t>
                          </a:r>
                          <a:endParaRPr lang="en-US" sz="1000" b="1" dirty="0">
                            <a:solidFill>
                              <a:schemeClr val="bg1"/>
                            </a:solidFill>
                          </a:endParaRPr>
                        </a:p>
                      </a:txBody>
                      <a:useSpRect/>
                    </a:txSp>
                  </a:sp>
                  <a:sp>
                    <a:nvSpPr>
                      <a:cNvPr id="68" name="Rectangle 67"/>
                      <a:cNvSpPr/>
                    </a:nvSpPr>
                    <a:spPr bwMode="auto">
                      <a:xfrm>
                        <a:off x="2905491" y="1518972"/>
                        <a:ext cx="559220" cy="585036"/>
                      </a:xfrm>
                      <a:prstGeom prst="rect">
                        <a:avLst/>
                      </a:prstGeom>
                      <a:solidFill>
                        <a:schemeClr val="tx1"/>
                      </a:solidFill>
                      <a:ln w="9525" cap="flat" cmpd="sng" algn="ctr">
                        <a:noFill/>
                        <a:prstDash val="solid"/>
                        <a:round/>
                        <a:headEnd type="none" w="med" len="med"/>
                        <a:tailEnd type="none" w="med" len="med"/>
                      </a:ln>
                      <a:effectLst/>
                    </a:spPr>
                    <a:txSp>
                      <a:txBody>
                        <a:bodyPr vert="horz" wrap="square" lIns="91440" tIns="45720" rIns="91440" bIns="45720" numCol="1" rtlCol="0" anchor="t" anchorCtr="0" compatLnSpc="1">
                          <a:prstTxWarp prst="textNoShape">
                            <a:avLst/>
                          </a:prstTxWarp>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marL="1582738" marR="0" indent="-381000" algn="l" defTabSz="966788" rtl="0" eaLnBrk="1" fontAlgn="base" latinLnBrk="0" hangingPunct="1">
                            <a:lnSpc>
                              <a:spcPct val="90000"/>
                            </a:lnSpc>
                            <a:spcBef>
                              <a:spcPct val="20000"/>
                            </a:spcBef>
                            <a:spcAft>
                              <a:spcPct val="50000"/>
                            </a:spcAft>
                            <a:buClr>
                              <a:srgbClr val="990000"/>
                            </a:buClr>
                            <a:buSzTx/>
                            <a:buFont typeface="Wingdings" pitchFamily="2" charset="2"/>
                            <a:buChar char="Ø"/>
                            <a:tabLst/>
                          </a:pPr>
                          <a:endParaRPr kumimoji="0" lang="en-US" sz="1600" b="0" i="0" u="none" strike="noStrike" cap="none" normalizeH="0" baseline="0" dirty="0" smtClean="0">
                            <a:ln>
                              <a:noFill/>
                            </a:ln>
                            <a:solidFill>
                              <a:schemeClr val="tx1"/>
                            </a:solidFill>
                            <a:effectLst/>
                            <a:latin typeface="Arial" charset="0"/>
                            <a:cs typeface="Arial" charset="0"/>
                          </a:endParaRPr>
                        </a:p>
                      </a:txBody>
                      <a:useSpRect/>
                    </a:txSp>
                  </a:sp>
                  <a:sp>
                    <a:nvSpPr>
                      <a:cNvPr id="78" name="Rectangle 77"/>
                      <a:cNvSpPr>
                        <a:spLocks noChangeArrowheads="1"/>
                      </a:cNvSpPr>
                    </a:nvSpPr>
                    <a:spPr bwMode="auto">
                      <a:xfrm>
                        <a:off x="1096429" y="2406214"/>
                        <a:ext cx="1681162" cy="935038"/>
                      </a:xfrm>
                      <a:prstGeom prst="rect">
                        <a:avLst/>
                      </a:prstGeom>
                      <a:gradFill rotWithShape="1">
                        <a:gsLst>
                          <a:gs pos="0">
                            <a:srgbClr val="FF9900">
                              <a:gamma/>
                              <a:shade val="46275"/>
                              <a:invGamma/>
                            </a:srgbClr>
                          </a:gs>
                          <a:gs pos="100000">
                            <a:srgbClr val="FF9900"/>
                          </a:gs>
                        </a:gsLst>
                        <a:lin ang="5400000" scaled="1"/>
                      </a:gradFill>
                      <a:ln w="12700" algn="ctr">
                        <a:noFill/>
                        <a:miter lim="800000"/>
                        <a:headEnd type="none" w="sm" len="sm"/>
                        <a:tailEnd type="none" w="sm" len="sm"/>
                      </a:ln>
                      <a:effectLst>
                        <a:outerShdw dist="107763" dir="2700000" algn="ctr" rotWithShape="0">
                          <a:schemeClr val="bg2">
                            <a:alpha val="50000"/>
                          </a:schemeClr>
                        </a:outerShdw>
                      </a:effectLst>
                    </a:spPr>
                    <a:txSp>
                      <a:txBody>
                        <a:bodyPr wrap="none" lIns="96661" tIns="48331" rIns="96661" bIns="48331"/>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lgn="r" defTabSz="966788">
                            <a:buNone/>
                            <a:defRPr/>
                          </a:pPr>
                          <a:endParaRPr lang="en-US" sz="1000" b="1" dirty="0">
                            <a:solidFill>
                              <a:schemeClr val="bg1"/>
                            </a:solidFill>
                          </a:endParaRPr>
                        </a:p>
                      </a:txBody>
                      <a:useSpRect/>
                    </a:txSp>
                  </a:sp>
                  <a:sp>
                    <a:nvSpPr>
                      <a:cNvPr id="79" name="TextBox 78"/>
                      <a:cNvSpPr txBox="1"/>
                    </a:nvSpPr>
                    <a:spPr>
                      <a:xfrm>
                        <a:off x="1910667" y="2612613"/>
                        <a:ext cx="840088" cy="230832"/>
                      </a:xfrm>
                      <a:prstGeom prst="rect">
                        <a:avLst/>
                      </a:prstGeom>
                      <a:noFill/>
                    </a:spPr>
                    <a:txSp>
                      <a:txBody>
                        <a:bodyPr wrap="square" rtlCol="0">
                          <a:spAutoFit/>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buNone/>
                          </a:pPr>
                          <a:r>
                            <a:rPr lang="en-US" sz="1000" b="1" dirty="0" smtClean="0">
                              <a:solidFill>
                                <a:schemeClr val="bg1"/>
                              </a:solidFill>
                            </a:rPr>
                            <a:t>Vice Chair</a:t>
                          </a:r>
                          <a:endParaRPr lang="en-US" sz="1000" b="1" dirty="0">
                            <a:solidFill>
                              <a:schemeClr val="bg1"/>
                            </a:solidFill>
                          </a:endParaRPr>
                        </a:p>
                      </a:txBody>
                      <a:useSpRect/>
                    </a:txSp>
                  </a:sp>
                  <a:sp>
                    <a:nvSpPr>
                      <a:cNvPr id="83" name="TextBox 82"/>
                      <a:cNvSpPr txBox="1"/>
                    </a:nvSpPr>
                    <a:spPr>
                      <a:xfrm>
                        <a:off x="3405637" y="3798357"/>
                        <a:ext cx="1216681" cy="230832"/>
                      </a:xfrm>
                      <a:prstGeom prst="rect">
                        <a:avLst/>
                      </a:prstGeom>
                      <a:noFill/>
                    </a:spPr>
                    <a:txSp>
                      <a:txBody>
                        <a:bodyPr wrap="square" rtlCol="0">
                          <a:spAutoFit/>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buNone/>
                          </a:pPr>
                          <a:r>
                            <a:rPr lang="en-US" sz="1000" b="1" dirty="0" smtClean="0">
                              <a:solidFill>
                                <a:schemeClr val="bg1"/>
                              </a:solidFill>
                            </a:rPr>
                            <a:t>Communications</a:t>
                          </a:r>
                          <a:endParaRPr lang="en-US" sz="1000" b="1" dirty="0">
                            <a:solidFill>
                              <a:schemeClr val="bg1"/>
                            </a:solidFill>
                          </a:endParaRPr>
                        </a:p>
                      </a:txBody>
                      <a:useSpRect/>
                    </a:txSp>
                  </a:sp>
                  <a:sp>
                    <a:nvSpPr>
                      <a:cNvPr id="133" name="Rectangle 132"/>
                      <a:cNvSpPr>
                        <a:spLocks noChangeArrowheads="1"/>
                      </a:cNvSpPr>
                    </a:nvSpPr>
                    <a:spPr bwMode="auto">
                      <a:xfrm>
                        <a:off x="6369779" y="1075306"/>
                        <a:ext cx="2524125" cy="3434551"/>
                      </a:xfrm>
                      <a:prstGeom prst="rect">
                        <a:avLst/>
                      </a:prstGeom>
                      <a:solidFill>
                        <a:srgbClr val="FFECB2"/>
                      </a:solidFill>
                      <a:ln w="12700" algn="ctr">
                        <a:solidFill>
                          <a:schemeClr val="tx1"/>
                        </a:solidFill>
                        <a:miter lim="800000"/>
                        <a:headEnd/>
                        <a:tailEnd/>
                      </a:ln>
                    </a:spPr>
                    <a:txSp>
                      <a:txBody>
                        <a:bodyPr wrap="none" lIns="102180" tIns="51090" rIns="102180" bIns="51090" anchor="ct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endParaRPr lang="en-US" dirty="0"/>
                        </a:p>
                      </a:txBody>
                      <a:useSpRect/>
                    </a:txSp>
                  </a:sp>
                  <a:sp>
                    <a:nvSpPr>
                      <a:cNvPr id="137" name="Text Box 11"/>
                      <a:cNvSpPr txBox="1">
                        <a:spLocks noChangeArrowheads="1"/>
                      </a:cNvSpPr>
                    </a:nvSpPr>
                    <a:spPr bwMode="auto">
                      <a:xfrm>
                        <a:off x="6313376" y="1098472"/>
                        <a:ext cx="2615470" cy="291495"/>
                      </a:xfrm>
                      <a:prstGeom prst="rect">
                        <a:avLst/>
                      </a:prstGeom>
                      <a:noFill/>
                      <a:ln w="9525">
                        <a:noFill/>
                        <a:miter lim="800000"/>
                        <a:headEnd/>
                        <a:tailEnd/>
                      </a:ln>
                    </a:spPr>
                    <a:txSp>
                      <a:txBody>
                        <a:bodyPr wrap="none" lIns="96652" tIns="48326" rIns="96652" bIns="48326">
                          <a:spAutoFit/>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lgn="ctr" defTabSz="966788">
                            <a:buNone/>
                          </a:pPr>
                          <a:r>
                            <a:rPr lang="en-US" sz="1400" b="1" dirty="0" smtClean="0">
                              <a:solidFill>
                                <a:schemeClr val="accent1">
                                  <a:lumMod val="50000"/>
                                </a:schemeClr>
                              </a:solidFill>
                              <a:cs typeface="Arial" charset="0"/>
                            </a:rPr>
                            <a:t>Campus / Regional Advisory</a:t>
                          </a:r>
                          <a:endParaRPr lang="en-US" sz="1400" b="1" dirty="0">
                            <a:solidFill>
                              <a:schemeClr val="accent1">
                                <a:lumMod val="50000"/>
                              </a:schemeClr>
                            </a:solidFill>
                            <a:cs typeface="Arial" charset="0"/>
                          </a:endParaRPr>
                        </a:p>
                      </a:txBody>
                      <a:useSpRect/>
                    </a:txSp>
                  </a:sp>
                  <a:sp>
                    <a:nvSpPr>
                      <a:cNvPr id="144" name="Rectangle 143"/>
                      <a:cNvSpPr>
                        <a:spLocks noChangeArrowheads="1"/>
                      </a:cNvSpPr>
                    </a:nvSpPr>
                    <a:spPr bwMode="auto">
                      <a:xfrm>
                        <a:off x="6746245" y="1731223"/>
                        <a:ext cx="1617663" cy="920750"/>
                      </a:xfrm>
                      <a:prstGeom prst="rect">
                        <a:avLst/>
                      </a:prstGeom>
                      <a:gradFill rotWithShape="1">
                        <a:gsLst>
                          <a:gs pos="0">
                            <a:srgbClr val="FF9900">
                              <a:gamma/>
                              <a:shade val="46275"/>
                              <a:invGamma/>
                            </a:srgbClr>
                          </a:gs>
                          <a:gs pos="100000">
                            <a:srgbClr val="FF9900"/>
                          </a:gs>
                        </a:gsLst>
                        <a:lin ang="5400000" scaled="1"/>
                      </a:gradFill>
                      <a:ln w="12700" algn="ctr">
                        <a:noFill/>
                        <a:miter lim="800000"/>
                        <a:headEnd type="none" w="sm" len="sm"/>
                        <a:tailEnd type="none" w="sm" len="sm"/>
                      </a:ln>
                      <a:effectLst>
                        <a:outerShdw dist="107763" dir="2700000" algn="ctr" rotWithShape="0">
                          <a:schemeClr val="bg2">
                            <a:alpha val="50000"/>
                          </a:schemeClr>
                        </a:outerShdw>
                      </a:effectLst>
                    </a:spPr>
                    <a:txSp>
                      <a:txBody>
                        <a:bodyPr wrap="none" lIns="96661" tIns="48331" rIns="96661" bIns="48331"/>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lgn="r" defTabSz="966788">
                            <a:buNone/>
                            <a:defRPr/>
                          </a:pPr>
                          <a:endParaRPr lang="en-US" sz="1000" b="1" dirty="0">
                            <a:solidFill>
                              <a:schemeClr val="bg1"/>
                            </a:solidFill>
                          </a:endParaRPr>
                        </a:p>
                      </a:txBody>
                      <a:useSpRect/>
                    </a:txSp>
                  </a:sp>
                  <a:sp>
                    <a:nvSpPr>
                      <a:cNvPr id="145" name="TextBox 144"/>
                      <a:cNvSpPr txBox="1"/>
                    </a:nvSpPr>
                    <a:spPr>
                      <a:xfrm>
                        <a:off x="7448365" y="1943412"/>
                        <a:ext cx="976764" cy="369332"/>
                      </a:xfrm>
                      <a:prstGeom prst="rect">
                        <a:avLst/>
                      </a:prstGeom>
                      <a:noFill/>
                    </a:spPr>
                    <a:txSp>
                      <a:txBody>
                        <a:bodyPr wrap="square" rtlCol="0">
                          <a:spAutoFit/>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buNone/>
                          </a:pPr>
                          <a:r>
                            <a:rPr lang="en-US" sz="1000" b="1" dirty="0" smtClean="0">
                              <a:solidFill>
                                <a:schemeClr val="bg1"/>
                              </a:solidFill>
                            </a:rPr>
                            <a:t>Executive Sponsor</a:t>
                          </a:r>
                          <a:endParaRPr lang="en-US" sz="1000" b="1" dirty="0">
                            <a:solidFill>
                              <a:schemeClr val="bg1"/>
                            </a:solidFill>
                          </a:endParaRPr>
                        </a:p>
                      </a:txBody>
                      <a:useSpRect/>
                    </a:txSp>
                  </a:sp>
                  <a:sp>
                    <a:nvSpPr>
                      <a:cNvPr id="151" name="Rectangle 150"/>
                      <a:cNvSpPr>
                        <a:spLocks noChangeArrowheads="1"/>
                      </a:cNvSpPr>
                    </a:nvSpPr>
                    <a:spPr bwMode="auto">
                      <a:xfrm>
                        <a:off x="6765480" y="3099864"/>
                        <a:ext cx="1617663" cy="920750"/>
                      </a:xfrm>
                      <a:prstGeom prst="rect">
                        <a:avLst/>
                      </a:prstGeom>
                      <a:gradFill rotWithShape="1">
                        <a:gsLst>
                          <a:gs pos="0">
                            <a:srgbClr val="FF9900">
                              <a:gamma/>
                              <a:shade val="46275"/>
                              <a:invGamma/>
                            </a:srgbClr>
                          </a:gs>
                          <a:gs pos="100000">
                            <a:srgbClr val="FF9900"/>
                          </a:gs>
                        </a:gsLst>
                        <a:lin ang="5400000" scaled="1"/>
                      </a:gradFill>
                      <a:ln w="12700" algn="ctr">
                        <a:noFill/>
                        <a:miter lim="800000"/>
                        <a:headEnd type="none" w="sm" len="sm"/>
                        <a:tailEnd type="none" w="sm" len="sm"/>
                      </a:ln>
                      <a:effectLst>
                        <a:outerShdw dist="107763" dir="2700000" algn="ctr" rotWithShape="0">
                          <a:schemeClr val="bg2">
                            <a:alpha val="50000"/>
                          </a:schemeClr>
                        </a:outerShdw>
                      </a:effectLst>
                    </a:spPr>
                    <a:txSp>
                      <a:txBody>
                        <a:bodyPr wrap="none" lIns="96661" tIns="48331" rIns="96661" bIns="48331"/>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lgn="r" defTabSz="966788">
                            <a:buNone/>
                            <a:defRPr/>
                          </a:pPr>
                          <a:endParaRPr lang="en-US" sz="1000" b="1" dirty="0">
                            <a:solidFill>
                              <a:schemeClr val="bg1"/>
                            </a:solidFill>
                          </a:endParaRPr>
                        </a:p>
                      </a:txBody>
                      <a:useSpRect/>
                    </a:txSp>
                  </a:sp>
                  <a:sp>
                    <a:nvSpPr>
                      <a:cNvPr id="152" name="TextBox 151"/>
                      <a:cNvSpPr txBox="1"/>
                    </a:nvSpPr>
                    <a:spPr>
                      <a:xfrm>
                        <a:off x="7467600" y="3312053"/>
                        <a:ext cx="976764" cy="369332"/>
                      </a:xfrm>
                      <a:prstGeom prst="rect">
                        <a:avLst/>
                      </a:prstGeom>
                      <a:noFill/>
                    </a:spPr>
                    <a:txSp>
                      <a:txBody>
                        <a:bodyPr wrap="square" rtlCol="0">
                          <a:spAutoFit/>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buNone/>
                          </a:pPr>
                          <a:r>
                            <a:rPr lang="en-US" sz="1000" b="1" dirty="0" smtClean="0">
                              <a:solidFill>
                                <a:schemeClr val="bg1"/>
                              </a:solidFill>
                            </a:rPr>
                            <a:t>Diversity &amp; Inclusion</a:t>
                          </a:r>
                          <a:endParaRPr lang="en-US" sz="1000" b="1" dirty="0">
                            <a:solidFill>
                              <a:schemeClr val="bg1"/>
                            </a:solidFill>
                          </a:endParaRPr>
                        </a:p>
                      </a:txBody>
                      <a:useSpRect/>
                    </a:txSp>
                  </a:sp>
                  <a:sp>
                    <a:nvSpPr>
                      <a:cNvPr id="158" name="Text Box 11"/>
                      <a:cNvSpPr txBox="1">
                        <a:spLocks noChangeArrowheads="1"/>
                      </a:cNvSpPr>
                    </a:nvSpPr>
                    <a:spPr bwMode="auto">
                      <a:xfrm>
                        <a:off x="2122662" y="1099952"/>
                        <a:ext cx="3258531" cy="291495"/>
                      </a:xfrm>
                      <a:prstGeom prst="rect">
                        <a:avLst/>
                      </a:prstGeom>
                      <a:noFill/>
                      <a:ln w="9525">
                        <a:noFill/>
                        <a:miter lim="800000"/>
                        <a:headEnd/>
                        <a:tailEnd/>
                      </a:ln>
                    </a:spPr>
                    <a:txSp>
                      <a:txBody>
                        <a:bodyPr wrap="none" lIns="96652" tIns="48326" rIns="96652" bIns="48326">
                          <a:spAutoFit/>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lgn="ctr" defTabSz="966788">
                            <a:buNone/>
                          </a:pPr>
                          <a:r>
                            <a:rPr lang="en-US" sz="1400" b="1" dirty="0" smtClean="0">
                              <a:solidFill>
                                <a:schemeClr val="accent1">
                                  <a:lumMod val="50000"/>
                                </a:schemeClr>
                              </a:solidFill>
                              <a:cs typeface="Arial" charset="0"/>
                            </a:rPr>
                            <a:t>Campus / Regional Executive Board</a:t>
                          </a:r>
                          <a:endParaRPr lang="en-US" sz="1400" b="1" dirty="0">
                            <a:solidFill>
                              <a:schemeClr val="accent1">
                                <a:lumMod val="50000"/>
                              </a:schemeClr>
                            </a:solidFill>
                            <a:cs typeface="Arial" charset="0"/>
                          </a:endParaRPr>
                        </a:p>
                      </a:txBody>
                      <a:useSpRect/>
                    </a:txSp>
                  </a:sp>
                  <a:sp>
                    <a:nvSpPr>
                      <a:cNvPr id="51" name="TextBox 50"/>
                      <a:cNvSpPr txBox="1"/>
                    </a:nvSpPr>
                    <a:spPr>
                      <a:xfrm>
                        <a:off x="2915177" y="2094333"/>
                        <a:ext cx="627233" cy="230832"/>
                      </a:xfrm>
                      <a:prstGeom prst="rect">
                        <a:avLst/>
                      </a:prstGeom>
                      <a:noFill/>
                    </a:spPr>
                    <a:txSp>
                      <a:txBody>
                        <a:bodyPr wrap="square" rtlCol="0">
                          <a:spAutoFit/>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buNone/>
                          </a:pPr>
                          <a:r>
                            <a:rPr lang="en-US" sz="1000" b="1" dirty="0" smtClean="0">
                              <a:solidFill>
                                <a:srgbClr val="990000"/>
                              </a:solidFill>
                            </a:rPr>
                            <a:t>NGAS</a:t>
                          </a:r>
                          <a:endParaRPr lang="en-US" sz="1000" b="1" dirty="0">
                            <a:solidFill>
                              <a:srgbClr val="990000"/>
                            </a:solidFill>
                          </a:endParaRPr>
                        </a:p>
                      </a:txBody>
                      <a:useSpRect/>
                    </a:txSp>
                  </a:sp>
                  <a:sp>
                    <a:nvSpPr>
                      <a:cNvPr id="53" name="Rectangle 52"/>
                      <a:cNvSpPr/>
                    </a:nvSpPr>
                    <a:spPr bwMode="auto">
                      <a:xfrm>
                        <a:off x="1166947" y="2496995"/>
                        <a:ext cx="559220" cy="585036"/>
                      </a:xfrm>
                      <a:prstGeom prst="rect">
                        <a:avLst/>
                      </a:prstGeom>
                      <a:solidFill>
                        <a:schemeClr val="tx1"/>
                      </a:solidFill>
                      <a:ln w="9525" cap="flat" cmpd="sng" algn="ctr">
                        <a:noFill/>
                        <a:prstDash val="solid"/>
                        <a:round/>
                        <a:headEnd type="none" w="med" len="med"/>
                        <a:tailEnd type="none" w="med" len="med"/>
                      </a:ln>
                      <a:effectLst/>
                    </a:spPr>
                    <a:txSp>
                      <a:txBody>
                        <a:bodyPr vert="horz" wrap="square" lIns="91440" tIns="45720" rIns="91440" bIns="45720" numCol="1" rtlCol="0" anchor="t" anchorCtr="0" compatLnSpc="1">
                          <a:prstTxWarp prst="textNoShape">
                            <a:avLst/>
                          </a:prstTxWarp>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marL="1582738" marR="0" indent="-381000" algn="l" defTabSz="966788" rtl="0" eaLnBrk="1" fontAlgn="base" latinLnBrk="0" hangingPunct="1">
                            <a:lnSpc>
                              <a:spcPct val="90000"/>
                            </a:lnSpc>
                            <a:spcBef>
                              <a:spcPct val="20000"/>
                            </a:spcBef>
                            <a:spcAft>
                              <a:spcPct val="50000"/>
                            </a:spcAft>
                            <a:buClr>
                              <a:srgbClr val="990000"/>
                            </a:buClr>
                            <a:buSzTx/>
                            <a:buFont typeface="Wingdings" pitchFamily="2" charset="2"/>
                            <a:buChar char="Ø"/>
                            <a:tabLst/>
                          </a:pPr>
                          <a:endParaRPr kumimoji="0" lang="en-US" sz="1600" b="0" i="0" u="none" strike="noStrike" cap="none" normalizeH="0" baseline="0" dirty="0" smtClean="0">
                            <a:ln>
                              <a:noFill/>
                            </a:ln>
                            <a:solidFill>
                              <a:schemeClr val="tx1"/>
                            </a:solidFill>
                            <a:effectLst/>
                            <a:latin typeface="Arial" charset="0"/>
                            <a:cs typeface="Arial" charset="0"/>
                          </a:endParaRPr>
                        </a:p>
                      </a:txBody>
                      <a:useSpRect/>
                    </a:txSp>
                  </a:sp>
                  <a:sp>
                    <a:nvSpPr>
                      <a:cNvPr id="54" name="TextBox 53"/>
                      <a:cNvSpPr txBox="1"/>
                    </a:nvSpPr>
                    <a:spPr>
                      <a:xfrm>
                        <a:off x="1176633" y="3072356"/>
                        <a:ext cx="627233" cy="230832"/>
                      </a:xfrm>
                      <a:prstGeom prst="rect">
                        <a:avLst/>
                      </a:prstGeom>
                      <a:noFill/>
                    </a:spPr>
                    <a:txSp>
                      <a:txBody>
                        <a:bodyPr wrap="square" rtlCol="0">
                          <a:spAutoFit/>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buNone/>
                          </a:pPr>
                          <a:r>
                            <a:rPr lang="en-US" sz="1000" b="1" dirty="0" smtClean="0">
                              <a:solidFill>
                                <a:srgbClr val="990000"/>
                              </a:solidFill>
                            </a:rPr>
                            <a:t>NGAS</a:t>
                          </a:r>
                          <a:endParaRPr lang="en-US" sz="1000" b="1" dirty="0">
                            <a:solidFill>
                              <a:srgbClr val="990000"/>
                            </a:solidFill>
                          </a:endParaRPr>
                        </a:p>
                      </a:txBody>
                      <a:useSpRect/>
                    </a:txSp>
                  </a:sp>
                  <a:sp>
                    <a:nvSpPr>
                      <a:cNvPr id="55" name="Rectangle 54"/>
                      <a:cNvSpPr/>
                    </a:nvSpPr>
                    <a:spPr bwMode="auto">
                      <a:xfrm>
                        <a:off x="2933603" y="2505873"/>
                        <a:ext cx="559220" cy="585036"/>
                      </a:xfrm>
                      <a:prstGeom prst="rect">
                        <a:avLst/>
                      </a:prstGeom>
                      <a:solidFill>
                        <a:schemeClr val="tx1"/>
                      </a:solidFill>
                      <a:ln w="9525" cap="flat" cmpd="sng" algn="ctr">
                        <a:noFill/>
                        <a:prstDash val="solid"/>
                        <a:round/>
                        <a:headEnd type="none" w="med" len="med"/>
                        <a:tailEnd type="none" w="med" len="med"/>
                      </a:ln>
                      <a:effectLst/>
                    </a:spPr>
                    <a:txSp>
                      <a:txBody>
                        <a:bodyPr vert="horz" wrap="square" lIns="91440" tIns="45720" rIns="91440" bIns="45720" numCol="1" rtlCol="0" anchor="t" anchorCtr="0" compatLnSpc="1">
                          <a:prstTxWarp prst="textNoShape">
                            <a:avLst/>
                          </a:prstTxWarp>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marL="1582738" marR="0" indent="-381000" algn="l" defTabSz="966788" rtl="0" eaLnBrk="1" fontAlgn="base" latinLnBrk="0" hangingPunct="1">
                            <a:lnSpc>
                              <a:spcPct val="90000"/>
                            </a:lnSpc>
                            <a:spcBef>
                              <a:spcPct val="20000"/>
                            </a:spcBef>
                            <a:spcAft>
                              <a:spcPct val="50000"/>
                            </a:spcAft>
                            <a:buClr>
                              <a:srgbClr val="990000"/>
                            </a:buClr>
                            <a:buSzTx/>
                            <a:buFont typeface="Wingdings" pitchFamily="2" charset="2"/>
                            <a:buChar char="Ø"/>
                            <a:tabLst/>
                          </a:pPr>
                          <a:endParaRPr kumimoji="0" lang="en-US" sz="1600" b="0" i="0" u="none" strike="noStrike" cap="none" normalizeH="0" baseline="0" dirty="0" smtClean="0">
                            <a:ln>
                              <a:noFill/>
                            </a:ln>
                            <a:solidFill>
                              <a:schemeClr val="tx1"/>
                            </a:solidFill>
                            <a:effectLst/>
                            <a:latin typeface="Arial" charset="0"/>
                            <a:cs typeface="Arial" charset="0"/>
                          </a:endParaRPr>
                        </a:p>
                      </a:txBody>
                      <a:useSpRect/>
                    </a:txSp>
                  </a:sp>
                  <a:sp>
                    <a:nvSpPr>
                      <a:cNvPr id="56" name="TextBox 55"/>
                      <a:cNvSpPr txBox="1"/>
                    </a:nvSpPr>
                    <a:spPr>
                      <a:xfrm>
                        <a:off x="2943289" y="3081234"/>
                        <a:ext cx="627233" cy="230832"/>
                      </a:xfrm>
                      <a:prstGeom prst="rect">
                        <a:avLst/>
                      </a:prstGeom>
                      <a:noFill/>
                    </a:spPr>
                    <a:txSp>
                      <a:txBody>
                        <a:bodyPr wrap="square" rtlCol="0">
                          <a:spAutoFit/>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buNone/>
                          </a:pPr>
                          <a:r>
                            <a:rPr lang="en-US" sz="1000" b="1" dirty="0" smtClean="0">
                              <a:solidFill>
                                <a:srgbClr val="990000"/>
                              </a:solidFill>
                            </a:rPr>
                            <a:t>NGES</a:t>
                          </a:r>
                          <a:endParaRPr lang="en-US" sz="1000" b="1" dirty="0">
                            <a:solidFill>
                              <a:srgbClr val="990000"/>
                            </a:solidFill>
                          </a:endParaRPr>
                        </a:p>
                      </a:txBody>
                      <a:useSpRect/>
                    </a:txSp>
                  </a:sp>
                  <a:sp>
                    <a:nvSpPr>
                      <a:cNvPr id="58" name="Rectangle 57"/>
                      <a:cNvSpPr/>
                    </a:nvSpPr>
                    <a:spPr bwMode="auto">
                      <a:xfrm>
                        <a:off x="4744648" y="2488118"/>
                        <a:ext cx="559220" cy="585036"/>
                      </a:xfrm>
                      <a:prstGeom prst="rect">
                        <a:avLst/>
                      </a:prstGeom>
                      <a:solidFill>
                        <a:schemeClr val="tx1"/>
                      </a:solidFill>
                      <a:ln w="9525" cap="flat" cmpd="sng" algn="ctr">
                        <a:noFill/>
                        <a:prstDash val="solid"/>
                        <a:round/>
                        <a:headEnd type="none" w="med" len="med"/>
                        <a:tailEnd type="none" w="med" len="med"/>
                      </a:ln>
                      <a:effectLst/>
                    </a:spPr>
                    <a:txSp>
                      <a:txBody>
                        <a:bodyPr vert="horz" wrap="square" lIns="91440" tIns="45720" rIns="91440" bIns="45720" numCol="1" rtlCol="0" anchor="t" anchorCtr="0" compatLnSpc="1">
                          <a:prstTxWarp prst="textNoShape">
                            <a:avLst/>
                          </a:prstTxWarp>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marL="1582738" marR="0" indent="-381000" algn="l" defTabSz="966788" rtl="0" eaLnBrk="1" fontAlgn="base" latinLnBrk="0" hangingPunct="1">
                            <a:lnSpc>
                              <a:spcPct val="90000"/>
                            </a:lnSpc>
                            <a:spcBef>
                              <a:spcPct val="20000"/>
                            </a:spcBef>
                            <a:spcAft>
                              <a:spcPct val="50000"/>
                            </a:spcAft>
                            <a:buClr>
                              <a:srgbClr val="990000"/>
                            </a:buClr>
                            <a:buSzTx/>
                            <a:buFont typeface="Wingdings" pitchFamily="2" charset="2"/>
                            <a:buChar char="Ø"/>
                            <a:tabLst/>
                          </a:pPr>
                          <a:endParaRPr kumimoji="0" lang="en-US" sz="1600" b="0" i="0" u="none" strike="noStrike" cap="none" normalizeH="0" baseline="0" dirty="0" smtClean="0">
                            <a:ln>
                              <a:noFill/>
                            </a:ln>
                            <a:solidFill>
                              <a:schemeClr val="tx1"/>
                            </a:solidFill>
                            <a:effectLst/>
                            <a:latin typeface="Arial" charset="0"/>
                            <a:cs typeface="Arial" charset="0"/>
                          </a:endParaRPr>
                        </a:p>
                      </a:txBody>
                      <a:useSpRect/>
                    </a:txSp>
                  </a:sp>
                  <a:sp>
                    <a:nvSpPr>
                      <a:cNvPr id="59" name="TextBox 58"/>
                      <a:cNvSpPr txBox="1"/>
                    </a:nvSpPr>
                    <a:spPr>
                      <a:xfrm>
                        <a:off x="4754334" y="3063479"/>
                        <a:ext cx="627233" cy="230832"/>
                      </a:xfrm>
                      <a:prstGeom prst="rect">
                        <a:avLst/>
                      </a:prstGeom>
                      <a:noFill/>
                    </a:spPr>
                    <a:txSp>
                      <a:txBody>
                        <a:bodyPr wrap="square" rtlCol="0">
                          <a:spAutoFit/>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buNone/>
                          </a:pPr>
                          <a:r>
                            <a:rPr lang="en-US" sz="1000" b="1" dirty="0" smtClean="0">
                              <a:solidFill>
                                <a:srgbClr val="990000"/>
                              </a:solidFill>
                            </a:rPr>
                            <a:t>NGAS</a:t>
                          </a:r>
                          <a:endParaRPr lang="en-US" sz="1000" b="1" dirty="0">
                            <a:solidFill>
                              <a:srgbClr val="990000"/>
                            </a:solidFill>
                          </a:endParaRPr>
                        </a:p>
                      </a:txBody>
                      <a:useSpRect/>
                    </a:txSp>
                  </a:sp>
                  <a:sp>
                    <a:nvSpPr>
                      <a:cNvPr id="60" name="Rectangle 59"/>
                      <a:cNvSpPr/>
                    </a:nvSpPr>
                    <a:spPr bwMode="auto">
                      <a:xfrm>
                        <a:off x="1202458" y="3509049"/>
                        <a:ext cx="559220" cy="585036"/>
                      </a:xfrm>
                      <a:prstGeom prst="rect">
                        <a:avLst/>
                      </a:prstGeom>
                      <a:solidFill>
                        <a:schemeClr val="tx1"/>
                      </a:solidFill>
                      <a:ln w="9525" cap="flat" cmpd="sng" algn="ctr">
                        <a:noFill/>
                        <a:prstDash val="solid"/>
                        <a:round/>
                        <a:headEnd type="none" w="med" len="med"/>
                        <a:tailEnd type="none" w="med" len="med"/>
                      </a:ln>
                      <a:effectLst/>
                    </a:spPr>
                    <a:txSp>
                      <a:txBody>
                        <a:bodyPr vert="horz" wrap="square" lIns="91440" tIns="45720" rIns="91440" bIns="45720" numCol="1" rtlCol="0" anchor="t" anchorCtr="0" compatLnSpc="1">
                          <a:prstTxWarp prst="textNoShape">
                            <a:avLst/>
                          </a:prstTxWarp>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marL="1582738" marR="0" indent="-381000" algn="l" defTabSz="966788" rtl="0" eaLnBrk="1" fontAlgn="base" latinLnBrk="0" hangingPunct="1">
                            <a:lnSpc>
                              <a:spcPct val="90000"/>
                            </a:lnSpc>
                            <a:spcBef>
                              <a:spcPct val="20000"/>
                            </a:spcBef>
                            <a:spcAft>
                              <a:spcPct val="50000"/>
                            </a:spcAft>
                            <a:buClr>
                              <a:srgbClr val="990000"/>
                            </a:buClr>
                            <a:buSzTx/>
                            <a:buFont typeface="Wingdings" pitchFamily="2" charset="2"/>
                            <a:buChar char="Ø"/>
                            <a:tabLst/>
                          </a:pPr>
                          <a:endParaRPr kumimoji="0" lang="en-US" sz="1600" b="0" i="0" u="none" strike="noStrike" cap="none" normalizeH="0" baseline="0" dirty="0" smtClean="0">
                            <a:ln>
                              <a:noFill/>
                            </a:ln>
                            <a:solidFill>
                              <a:schemeClr val="tx1"/>
                            </a:solidFill>
                            <a:effectLst/>
                            <a:latin typeface="Arial" charset="0"/>
                            <a:cs typeface="Arial" charset="0"/>
                          </a:endParaRPr>
                        </a:p>
                      </a:txBody>
                      <a:useSpRect/>
                    </a:txSp>
                  </a:sp>
                  <a:sp>
                    <a:nvSpPr>
                      <a:cNvPr id="62" name="TextBox 61"/>
                      <a:cNvSpPr txBox="1"/>
                    </a:nvSpPr>
                    <a:spPr>
                      <a:xfrm>
                        <a:off x="1212144" y="4084410"/>
                        <a:ext cx="627233" cy="230832"/>
                      </a:xfrm>
                      <a:prstGeom prst="rect">
                        <a:avLst/>
                      </a:prstGeom>
                      <a:noFill/>
                    </a:spPr>
                    <a:txSp>
                      <a:txBody>
                        <a:bodyPr wrap="square" rtlCol="0">
                          <a:spAutoFit/>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buNone/>
                          </a:pPr>
                          <a:r>
                            <a:rPr lang="en-US" sz="1000" b="1" dirty="0" smtClean="0">
                              <a:solidFill>
                                <a:srgbClr val="990000"/>
                              </a:solidFill>
                            </a:rPr>
                            <a:t>NGIS</a:t>
                          </a:r>
                          <a:endParaRPr lang="en-US" sz="1000" b="1" dirty="0">
                            <a:solidFill>
                              <a:srgbClr val="990000"/>
                            </a:solidFill>
                          </a:endParaRPr>
                        </a:p>
                      </a:txBody>
                      <a:useSpRect/>
                    </a:txSp>
                  </a:sp>
                  <a:sp>
                    <a:nvSpPr>
                      <a:cNvPr id="64" name="Rectangle 63"/>
                      <a:cNvSpPr/>
                    </a:nvSpPr>
                    <a:spPr bwMode="auto">
                      <a:xfrm>
                        <a:off x="2898093" y="3517927"/>
                        <a:ext cx="559220" cy="585036"/>
                      </a:xfrm>
                      <a:prstGeom prst="rect">
                        <a:avLst/>
                      </a:prstGeom>
                      <a:solidFill>
                        <a:schemeClr val="tx1"/>
                      </a:solidFill>
                      <a:ln w="9525" cap="flat" cmpd="sng" algn="ctr">
                        <a:noFill/>
                        <a:prstDash val="solid"/>
                        <a:round/>
                        <a:headEnd type="none" w="med" len="med"/>
                        <a:tailEnd type="none" w="med" len="med"/>
                      </a:ln>
                      <a:effectLst/>
                    </a:spPr>
                    <a:txSp>
                      <a:txBody>
                        <a:bodyPr vert="horz" wrap="square" lIns="91440" tIns="45720" rIns="91440" bIns="45720" numCol="1" rtlCol="0" anchor="t" anchorCtr="0" compatLnSpc="1">
                          <a:prstTxWarp prst="textNoShape">
                            <a:avLst/>
                          </a:prstTxWarp>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marL="1582738" marR="0" indent="-381000" algn="l" defTabSz="966788" rtl="0" eaLnBrk="1" fontAlgn="base" latinLnBrk="0" hangingPunct="1">
                            <a:lnSpc>
                              <a:spcPct val="90000"/>
                            </a:lnSpc>
                            <a:spcBef>
                              <a:spcPct val="20000"/>
                            </a:spcBef>
                            <a:spcAft>
                              <a:spcPct val="50000"/>
                            </a:spcAft>
                            <a:buClr>
                              <a:srgbClr val="990000"/>
                            </a:buClr>
                            <a:buSzTx/>
                            <a:buFont typeface="Wingdings" pitchFamily="2" charset="2"/>
                            <a:buChar char="Ø"/>
                            <a:tabLst/>
                          </a:pPr>
                          <a:endParaRPr kumimoji="0" lang="en-US" sz="1600" b="0" i="0" u="none" strike="noStrike" cap="none" normalizeH="0" baseline="0" dirty="0" smtClean="0">
                            <a:ln>
                              <a:noFill/>
                            </a:ln>
                            <a:solidFill>
                              <a:schemeClr val="tx1"/>
                            </a:solidFill>
                            <a:effectLst/>
                            <a:latin typeface="Arial" charset="0"/>
                            <a:cs typeface="Arial" charset="0"/>
                          </a:endParaRPr>
                        </a:p>
                      </a:txBody>
                      <a:useSpRect/>
                    </a:txSp>
                  </a:sp>
                  <a:sp>
                    <a:nvSpPr>
                      <a:cNvPr id="67" name="TextBox 66"/>
                      <a:cNvSpPr txBox="1"/>
                    </a:nvSpPr>
                    <a:spPr>
                      <a:xfrm>
                        <a:off x="2907779" y="4093288"/>
                        <a:ext cx="627233" cy="230832"/>
                      </a:xfrm>
                      <a:prstGeom prst="rect">
                        <a:avLst/>
                      </a:prstGeom>
                      <a:noFill/>
                    </a:spPr>
                    <a:txSp>
                      <a:txBody>
                        <a:bodyPr wrap="square" rtlCol="0">
                          <a:spAutoFit/>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buNone/>
                          </a:pPr>
                          <a:r>
                            <a:rPr lang="en-US" sz="1000" b="1" dirty="0" smtClean="0">
                              <a:solidFill>
                                <a:srgbClr val="990000"/>
                              </a:solidFill>
                            </a:rPr>
                            <a:t>NGTS</a:t>
                          </a:r>
                          <a:endParaRPr lang="en-US" sz="1000" b="1" dirty="0">
                            <a:solidFill>
                              <a:srgbClr val="990000"/>
                            </a:solidFill>
                          </a:endParaRPr>
                        </a:p>
                      </a:txBody>
                      <a:useSpRect/>
                    </a:txSp>
                  </a:sp>
                  <a:sp>
                    <a:nvSpPr>
                      <a:cNvPr id="69" name="Rectangle 68"/>
                      <a:cNvSpPr/>
                    </a:nvSpPr>
                    <a:spPr bwMode="auto">
                      <a:xfrm>
                        <a:off x="4735770" y="3517927"/>
                        <a:ext cx="559220" cy="585036"/>
                      </a:xfrm>
                      <a:prstGeom prst="rect">
                        <a:avLst/>
                      </a:prstGeom>
                      <a:solidFill>
                        <a:schemeClr val="tx1"/>
                      </a:solidFill>
                      <a:ln w="9525" cap="flat" cmpd="sng" algn="ctr">
                        <a:noFill/>
                        <a:prstDash val="solid"/>
                        <a:round/>
                        <a:headEnd type="none" w="med" len="med"/>
                        <a:tailEnd type="none" w="med" len="med"/>
                      </a:ln>
                      <a:effectLst/>
                    </a:spPr>
                    <a:txSp>
                      <a:txBody>
                        <a:bodyPr vert="horz" wrap="square" lIns="91440" tIns="45720" rIns="91440" bIns="45720" numCol="1" rtlCol="0" anchor="t" anchorCtr="0" compatLnSpc="1">
                          <a:prstTxWarp prst="textNoShape">
                            <a:avLst/>
                          </a:prstTxWarp>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marL="1582738" marR="0" indent="-381000" algn="l" defTabSz="966788" rtl="0" eaLnBrk="1" fontAlgn="base" latinLnBrk="0" hangingPunct="1">
                            <a:lnSpc>
                              <a:spcPct val="90000"/>
                            </a:lnSpc>
                            <a:spcBef>
                              <a:spcPct val="20000"/>
                            </a:spcBef>
                            <a:spcAft>
                              <a:spcPct val="50000"/>
                            </a:spcAft>
                            <a:buClr>
                              <a:srgbClr val="990000"/>
                            </a:buClr>
                            <a:buSzTx/>
                            <a:buFont typeface="Wingdings" pitchFamily="2" charset="2"/>
                            <a:buChar char="Ø"/>
                            <a:tabLst/>
                          </a:pPr>
                          <a:endParaRPr kumimoji="0" lang="en-US" sz="1600" b="0" i="0" u="none" strike="noStrike" cap="none" normalizeH="0" baseline="0" dirty="0" smtClean="0">
                            <a:ln>
                              <a:noFill/>
                            </a:ln>
                            <a:solidFill>
                              <a:schemeClr val="tx1"/>
                            </a:solidFill>
                            <a:effectLst/>
                            <a:latin typeface="Arial" charset="0"/>
                            <a:cs typeface="Arial" charset="0"/>
                          </a:endParaRPr>
                        </a:p>
                      </a:txBody>
                      <a:useSpRect/>
                    </a:txSp>
                  </a:sp>
                  <a:sp>
                    <a:nvSpPr>
                      <a:cNvPr id="70" name="TextBox 69"/>
                      <a:cNvSpPr txBox="1"/>
                    </a:nvSpPr>
                    <a:spPr>
                      <a:xfrm>
                        <a:off x="4745456" y="4093288"/>
                        <a:ext cx="627233" cy="230832"/>
                      </a:xfrm>
                      <a:prstGeom prst="rect">
                        <a:avLst/>
                      </a:prstGeom>
                      <a:noFill/>
                    </a:spPr>
                    <a:txSp>
                      <a:txBody>
                        <a:bodyPr wrap="square" rtlCol="0">
                          <a:spAutoFit/>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buNone/>
                          </a:pPr>
                          <a:r>
                            <a:rPr lang="en-US" sz="1000" b="1" dirty="0" smtClean="0">
                              <a:solidFill>
                                <a:srgbClr val="990000"/>
                              </a:solidFill>
                            </a:rPr>
                            <a:t>NGES</a:t>
                          </a:r>
                          <a:endParaRPr lang="en-US" sz="1000" b="1" dirty="0">
                            <a:solidFill>
                              <a:srgbClr val="990000"/>
                            </a:solidFill>
                          </a:endParaRPr>
                        </a:p>
                      </a:txBody>
                      <a:useSpRect/>
                    </a:txSp>
                  </a:sp>
                  <a:sp>
                    <a:nvSpPr>
                      <a:cNvPr id="72" name="Rectangle 71"/>
                      <a:cNvSpPr/>
                    </a:nvSpPr>
                    <a:spPr bwMode="auto">
                      <a:xfrm>
                        <a:off x="6823502" y="1797140"/>
                        <a:ext cx="559220" cy="585036"/>
                      </a:xfrm>
                      <a:prstGeom prst="rect">
                        <a:avLst/>
                      </a:prstGeom>
                      <a:solidFill>
                        <a:schemeClr val="tx1"/>
                      </a:solidFill>
                      <a:ln w="9525" cap="flat" cmpd="sng" algn="ctr">
                        <a:noFill/>
                        <a:prstDash val="solid"/>
                        <a:round/>
                        <a:headEnd type="none" w="med" len="med"/>
                        <a:tailEnd type="none" w="med" len="med"/>
                      </a:ln>
                      <a:effectLst/>
                    </a:spPr>
                    <a:txSp>
                      <a:txBody>
                        <a:bodyPr vert="horz" wrap="square" lIns="91440" tIns="45720" rIns="91440" bIns="45720" numCol="1" rtlCol="0" anchor="t" anchorCtr="0" compatLnSpc="1">
                          <a:prstTxWarp prst="textNoShape">
                            <a:avLst/>
                          </a:prstTxWarp>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marL="1582738" marR="0" indent="-381000" algn="l" defTabSz="966788" rtl="0" eaLnBrk="1" fontAlgn="base" latinLnBrk="0" hangingPunct="1">
                            <a:lnSpc>
                              <a:spcPct val="90000"/>
                            </a:lnSpc>
                            <a:spcBef>
                              <a:spcPct val="20000"/>
                            </a:spcBef>
                            <a:spcAft>
                              <a:spcPct val="50000"/>
                            </a:spcAft>
                            <a:buClr>
                              <a:srgbClr val="990000"/>
                            </a:buClr>
                            <a:buSzTx/>
                            <a:buFont typeface="Wingdings" pitchFamily="2" charset="2"/>
                            <a:buChar char="Ø"/>
                            <a:tabLst/>
                          </a:pPr>
                          <a:endParaRPr kumimoji="0" lang="en-US" sz="1600" b="0" i="0" u="none" strike="noStrike" cap="none" normalizeH="0" baseline="0" dirty="0" smtClean="0">
                            <a:ln>
                              <a:noFill/>
                            </a:ln>
                            <a:solidFill>
                              <a:schemeClr val="tx1"/>
                            </a:solidFill>
                            <a:effectLst/>
                            <a:latin typeface="Arial" charset="0"/>
                            <a:cs typeface="Arial" charset="0"/>
                          </a:endParaRPr>
                        </a:p>
                      </a:txBody>
                      <a:useSpRect/>
                    </a:txSp>
                  </a:sp>
                  <a:sp>
                    <a:nvSpPr>
                      <a:cNvPr id="73" name="TextBox 72"/>
                      <a:cNvSpPr txBox="1"/>
                    </a:nvSpPr>
                    <a:spPr>
                      <a:xfrm>
                        <a:off x="6833188" y="2372501"/>
                        <a:ext cx="627233" cy="230832"/>
                      </a:xfrm>
                      <a:prstGeom prst="rect">
                        <a:avLst/>
                      </a:prstGeom>
                      <a:noFill/>
                    </a:spPr>
                    <a:txSp>
                      <a:txBody>
                        <a:bodyPr wrap="square" rtlCol="0">
                          <a:spAutoFit/>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buNone/>
                          </a:pPr>
                          <a:r>
                            <a:rPr lang="en-US" sz="1000" b="1" dirty="0" smtClean="0">
                              <a:solidFill>
                                <a:srgbClr val="990000"/>
                              </a:solidFill>
                            </a:rPr>
                            <a:t>NGAS</a:t>
                          </a:r>
                          <a:endParaRPr lang="en-US" sz="1000" b="1" dirty="0">
                            <a:solidFill>
                              <a:srgbClr val="990000"/>
                            </a:solidFill>
                          </a:endParaRPr>
                        </a:p>
                      </a:txBody>
                      <a:useSpRect/>
                    </a:txSp>
                  </a:sp>
                  <a:sp>
                    <a:nvSpPr>
                      <a:cNvPr id="74" name="Rectangle 73"/>
                      <a:cNvSpPr/>
                    </a:nvSpPr>
                    <a:spPr bwMode="auto">
                      <a:xfrm>
                        <a:off x="6841257" y="3155423"/>
                        <a:ext cx="559220" cy="585036"/>
                      </a:xfrm>
                      <a:prstGeom prst="rect">
                        <a:avLst/>
                      </a:prstGeom>
                      <a:solidFill>
                        <a:schemeClr val="tx1"/>
                      </a:solidFill>
                      <a:ln w="9525" cap="flat" cmpd="sng" algn="ctr">
                        <a:noFill/>
                        <a:prstDash val="solid"/>
                        <a:round/>
                        <a:headEnd type="none" w="med" len="med"/>
                        <a:tailEnd type="none" w="med" len="med"/>
                      </a:ln>
                      <a:effectLst/>
                    </a:spPr>
                    <a:txSp>
                      <a:txBody>
                        <a:bodyPr vert="horz" wrap="square" lIns="91440" tIns="45720" rIns="91440" bIns="45720" numCol="1" rtlCol="0" anchor="t" anchorCtr="0" compatLnSpc="1">
                          <a:prstTxWarp prst="textNoShape">
                            <a:avLst/>
                          </a:prstTxWarp>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marL="1582738" marR="0" indent="-381000" algn="l" defTabSz="966788" rtl="0" eaLnBrk="1" fontAlgn="base" latinLnBrk="0" hangingPunct="1">
                            <a:lnSpc>
                              <a:spcPct val="90000"/>
                            </a:lnSpc>
                            <a:spcBef>
                              <a:spcPct val="20000"/>
                            </a:spcBef>
                            <a:spcAft>
                              <a:spcPct val="50000"/>
                            </a:spcAft>
                            <a:buClr>
                              <a:srgbClr val="990000"/>
                            </a:buClr>
                            <a:buSzTx/>
                            <a:buFont typeface="Wingdings" pitchFamily="2" charset="2"/>
                            <a:buChar char="Ø"/>
                            <a:tabLst/>
                          </a:pPr>
                          <a:endParaRPr kumimoji="0" lang="en-US" sz="1600" b="0" i="0" u="none" strike="noStrike" cap="none" normalizeH="0" baseline="0" dirty="0" smtClean="0">
                            <a:ln>
                              <a:noFill/>
                            </a:ln>
                            <a:solidFill>
                              <a:schemeClr val="tx1"/>
                            </a:solidFill>
                            <a:effectLst/>
                            <a:latin typeface="Arial" charset="0"/>
                            <a:cs typeface="Arial" charset="0"/>
                          </a:endParaRPr>
                        </a:p>
                      </a:txBody>
                      <a:useSpRect/>
                    </a:txSp>
                  </a:sp>
                  <a:sp>
                    <a:nvSpPr>
                      <a:cNvPr id="75" name="TextBox 74"/>
                      <a:cNvSpPr txBox="1"/>
                    </a:nvSpPr>
                    <a:spPr>
                      <a:xfrm>
                        <a:off x="6850943" y="3730784"/>
                        <a:ext cx="627233" cy="230832"/>
                      </a:xfrm>
                      <a:prstGeom prst="rect">
                        <a:avLst/>
                      </a:prstGeom>
                      <a:noFill/>
                    </a:spPr>
                    <a:txSp>
                      <a:txBody>
                        <a:bodyPr wrap="square" rtlCol="0">
                          <a:spAutoFit/>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buNone/>
                          </a:pPr>
                          <a:r>
                            <a:rPr lang="en-US" sz="1000" b="1" dirty="0" smtClean="0">
                              <a:solidFill>
                                <a:srgbClr val="990000"/>
                              </a:solidFill>
                            </a:rPr>
                            <a:t>NGAS</a:t>
                          </a:r>
                          <a:endParaRPr lang="en-US" sz="1000" b="1" dirty="0">
                            <a:solidFill>
                              <a:srgbClr val="990000"/>
                            </a:solidFill>
                          </a:endParaRPr>
                        </a:p>
                      </a:txBody>
                      <a:useSpRect/>
                    </a:txSp>
                  </a:sp>
                  <a:sp>
                    <a:nvSpPr>
                      <a:cNvPr id="76" name="Text Box 5"/>
                      <a:cNvSpPr txBox="1">
                        <a:spLocks noChangeArrowheads="1"/>
                      </a:cNvSpPr>
                    </a:nvSpPr>
                    <a:spPr bwMode="auto">
                      <a:xfrm>
                        <a:off x="2561978" y="4629272"/>
                        <a:ext cx="2462212" cy="307975"/>
                      </a:xfrm>
                      <a:prstGeom prst="rect">
                        <a:avLst/>
                      </a:prstGeom>
                      <a:noFill/>
                      <a:ln w="9525">
                        <a:noFill/>
                        <a:miter lim="800000"/>
                        <a:headEnd/>
                        <a:tailEnd/>
                      </a:ln>
                    </a:spPr>
                    <a:txSp>
                      <a:txBody>
                        <a:bodyPr wrap="none" lIns="96652" tIns="48327" rIns="96652" bIns="48327">
                          <a:spAutoFit/>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lgn="ctr" defTabSz="966788"/>
                          <a:r>
                            <a:rPr lang="en-US" sz="1400" b="1" dirty="0">
                              <a:cs typeface="Arial" charset="0"/>
                            </a:rPr>
                            <a:t>Campus Committee Chairs</a:t>
                          </a:r>
                        </a:p>
                      </a:txBody>
                      <a:useSpRect/>
                    </a:txSp>
                  </a:sp>
                  <a:sp>
                    <a:nvSpPr>
                      <a:cNvPr id="77" name="Rectangle 76"/>
                      <a:cNvSpPr>
                        <a:spLocks noChangeArrowheads="1"/>
                      </a:cNvSpPr>
                    </a:nvSpPr>
                    <a:spPr bwMode="auto">
                      <a:xfrm>
                        <a:off x="1053853" y="4562598"/>
                        <a:ext cx="7850451" cy="1953612"/>
                      </a:xfrm>
                      <a:prstGeom prst="rect">
                        <a:avLst/>
                      </a:prstGeom>
                      <a:solidFill>
                        <a:srgbClr val="FFECB2"/>
                      </a:solidFill>
                      <a:ln w="9525" algn="ctr">
                        <a:solidFill>
                          <a:schemeClr val="tx1"/>
                        </a:solidFill>
                        <a:miter lim="800000"/>
                        <a:headEnd/>
                        <a:tailEnd/>
                      </a:ln>
                    </a:spPr>
                    <a:txSp>
                      <a:txBody>
                        <a:bodyPr wrap="none" lIns="96652" tIns="48327" rIns="96652" bIns="48327" anchor="ct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lgn="ctr" defTabSz="966788"/>
                          <a:endParaRPr lang="en-US" sz="2500" dirty="0">
                            <a:cs typeface="Arial" charset="0"/>
                          </a:endParaRPr>
                        </a:p>
                      </a:txBody>
                      <a:useSpRect/>
                    </a:txSp>
                  </a:sp>
                  <a:sp>
                    <a:nvSpPr>
                      <a:cNvPr id="80" name="Text Box 23"/>
                      <a:cNvSpPr txBox="1">
                        <a:spLocks noChangeArrowheads="1"/>
                      </a:cNvSpPr>
                    </a:nvSpPr>
                    <a:spPr bwMode="auto">
                      <a:xfrm>
                        <a:off x="3148075" y="4562597"/>
                        <a:ext cx="3389977" cy="291495"/>
                      </a:xfrm>
                      <a:prstGeom prst="rect">
                        <a:avLst/>
                      </a:prstGeom>
                      <a:noFill/>
                      <a:ln w="9525">
                        <a:noFill/>
                        <a:miter lim="800000"/>
                        <a:headEnd/>
                        <a:tailEnd/>
                      </a:ln>
                    </a:spPr>
                    <a:txSp>
                      <a:txBody>
                        <a:bodyPr wrap="none" lIns="96652" tIns="48326" rIns="96652" bIns="48326">
                          <a:spAutoFit/>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lgn="ctr" defTabSz="966788">
                            <a:buNone/>
                          </a:pPr>
                          <a:r>
                            <a:rPr lang="en-US" sz="1400" b="1" dirty="0" smtClean="0">
                              <a:solidFill>
                                <a:schemeClr val="accent1">
                                  <a:lumMod val="50000"/>
                                </a:schemeClr>
                              </a:solidFill>
                              <a:cs typeface="Arial" charset="0"/>
                            </a:rPr>
                            <a:t>Campus / Regional Committee Chairs</a:t>
                          </a:r>
                          <a:endParaRPr lang="en-US" sz="1400" b="1" dirty="0">
                            <a:solidFill>
                              <a:schemeClr val="accent1">
                                <a:lumMod val="50000"/>
                              </a:schemeClr>
                            </a:solidFill>
                            <a:cs typeface="Arial" charset="0"/>
                          </a:endParaRPr>
                        </a:p>
                      </a:txBody>
                      <a:useSpRect/>
                    </a:txSp>
                  </a:sp>
                  <a:sp>
                    <a:nvSpPr>
                      <a:cNvPr id="81" name="Rectangle 26"/>
                      <a:cNvSpPr>
                        <a:spLocks noChangeArrowheads="1"/>
                      </a:cNvSpPr>
                    </a:nvSpPr>
                    <a:spPr bwMode="auto">
                      <a:xfrm>
                        <a:off x="1237642" y="4846143"/>
                        <a:ext cx="1066800" cy="1572411"/>
                      </a:xfrm>
                      <a:prstGeom prst="rect">
                        <a:avLst/>
                      </a:prstGeom>
                      <a:gradFill rotWithShape="1">
                        <a:gsLst>
                          <a:gs pos="0">
                            <a:srgbClr val="FF9900">
                              <a:gamma/>
                              <a:shade val="46275"/>
                              <a:invGamma/>
                            </a:srgbClr>
                          </a:gs>
                          <a:gs pos="100000">
                            <a:srgbClr val="FF9900"/>
                          </a:gs>
                        </a:gsLst>
                        <a:lin ang="5400000" scaled="1"/>
                      </a:gradFill>
                      <a:ln w="28575">
                        <a:noFill/>
                        <a:miter lim="800000"/>
                        <a:headEnd type="none" w="sm" len="sm"/>
                        <a:tailEnd type="none" w="sm" len="sm"/>
                      </a:ln>
                      <a:effectLst>
                        <a:outerShdw dist="107763" dir="2700000" algn="ctr" rotWithShape="0">
                          <a:schemeClr val="bg2">
                            <a:alpha val="50000"/>
                          </a:schemeClr>
                        </a:outerShdw>
                      </a:effectLst>
                    </a:spPr>
                    <a:txSp>
                      <a:txBody>
                        <a:bodyPr wrap="none" lIns="96661" tIns="48331" rIns="96661" bIns="48331"/>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lgn="ctr" defTabSz="966788">
                            <a:lnSpc>
                              <a:spcPct val="100000"/>
                            </a:lnSpc>
                            <a:spcBef>
                              <a:spcPct val="0"/>
                            </a:spcBef>
                            <a:spcAft>
                              <a:spcPct val="0"/>
                            </a:spcAft>
                            <a:buClrTx/>
                            <a:buFontTx/>
                            <a:buNone/>
                          </a:pPr>
                          <a:r>
                            <a:rPr lang="en-US" sz="1000" b="1" dirty="0" smtClean="0">
                              <a:solidFill>
                                <a:schemeClr val="bg1"/>
                              </a:solidFill>
                            </a:rPr>
                            <a:t>Communications</a:t>
                          </a:r>
                        </a:p>
                        <a:p>
                          <a:pPr algn="ctr" defTabSz="966788">
                            <a:lnSpc>
                              <a:spcPct val="100000"/>
                            </a:lnSpc>
                            <a:spcBef>
                              <a:spcPct val="0"/>
                            </a:spcBef>
                            <a:spcAft>
                              <a:spcPct val="0"/>
                            </a:spcAft>
                            <a:buClrTx/>
                            <a:buFontTx/>
                            <a:buNone/>
                          </a:pPr>
                          <a:r>
                            <a:rPr lang="en-US" sz="1000" b="1" dirty="0" smtClean="0">
                              <a:solidFill>
                                <a:schemeClr val="bg1"/>
                              </a:solidFill>
                            </a:rPr>
                            <a:t>Membership</a:t>
                          </a:r>
                          <a:endParaRPr lang="en-US" sz="1300" b="1" dirty="0">
                            <a:solidFill>
                              <a:schemeClr val="bg1"/>
                            </a:solidFill>
                          </a:endParaRPr>
                        </a:p>
                      </a:txBody>
                      <a:useSpRect/>
                    </a:txSp>
                  </a:sp>
                  <a:sp>
                    <a:nvSpPr>
                      <a:cNvPr id="82" name="Rectangle 26"/>
                      <a:cNvSpPr>
                        <a:spLocks noChangeArrowheads="1"/>
                      </a:cNvSpPr>
                    </a:nvSpPr>
                    <a:spPr bwMode="auto">
                      <a:xfrm>
                        <a:off x="2553603" y="4863837"/>
                        <a:ext cx="1066800" cy="1554718"/>
                      </a:xfrm>
                      <a:prstGeom prst="rect">
                        <a:avLst/>
                      </a:prstGeom>
                      <a:gradFill rotWithShape="1">
                        <a:gsLst>
                          <a:gs pos="0">
                            <a:srgbClr val="FF9900">
                              <a:gamma/>
                              <a:shade val="46275"/>
                              <a:invGamma/>
                            </a:srgbClr>
                          </a:gs>
                          <a:gs pos="100000">
                            <a:srgbClr val="FF9900"/>
                          </a:gs>
                        </a:gsLst>
                        <a:lin ang="5400000" scaled="1"/>
                      </a:gradFill>
                      <a:ln w="28575">
                        <a:noFill/>
                        <a:miter lim="800000"/>
                        <a:headEnd type="none" w="sm" len="sm"/>
                        <a:tailEnd type="none" w="sm" len="sm"/>
                      </a:ln>
                      <a:effectLst>
                        <a:outerShdw dist="107763" dir="2700000" algn="ctr" rotWithShape="0">
                          <a:schemeClr val="bg2">
                            <a:alpha val="50000"/>
                          </a:schemeClr>
                        </a:outerShdw>
                      </a:effectLst>
                    </a:spPr>
                    <a:txSp>
                      <a:txBody>
                        <a:bodyPr wrap="none" lIns="96661" tIns="48331" rIns="96661" bIns="48331"/>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lgn="ctr" defTabSz="966788">
                            <a:lnSpc>
                              <a:spcPct val="100000"/>
                            </a:lnSpc>
                            <a:spcBef>
                              <a:spcPct val="0"/>
                            </a:spcBef>
                            <a:spcAft>
                              <a:spcPct val="0"/>
                            </a:spcAft>
                            <a:buClrTx/>
                            <a:buFontTx/>
                            <a:buNone/>
                          </a:pPr>
                          <a:r>
                            <a:rPr lang="en-US" sz="1000" b="1" dirty="0" smtClean="0">
                              <a:solidFill>
                                <a:schemeClr val="bg1"/>
                              </a:solidFill>
                            </a:rPr>
                            <a:t>Professional</a:t>
                          </a:r>
                        </a:p>
                        <a:p>
                          <a:pPr algn="ctr" defTabSz="966788">
                            <a:lnSpc>
                              <a:spcPct val="100000"/>
                            </a:lnSpc>
                            <a:spcBef>
                              <a:spcPct val="0"/>
                            </a:spcBef>
                            <a:spcAft>
                              <a:spcPct val="0"/>
                            </a:spcAft>
                            <a:buClrTx/>
                            <a:buFontTx/>
                            <a:buNone/>
                          </a:pPr>
                          <a:r>
                            <a:rPr lang="en-US" sz="1000" b="1" dirty="0" smtClean="0">
                              <a:solidFill>
                                <a:schemeClr val="bg1"/>
                              </a:solidFill>
                            </a:rPr>
                            <a:t>Development</a:t>
                          </a:r>
                          <a:endParaRPr lang="en-US" sz="1300" b="1" dirty="0">
                            <a:solidFill>
                              <a:schemeClr val="bg1"/>
                            </a:solidFill>
                          </a:endParaRPr>
                        </a:p>
                      </a:txBody>
                      <a:useSpRect/>
                    </a:txSp>
                  </a:sp>
                  <a:sp>
                    <a:nvSpPr>
                      <a:cNvPr id="84" name="Rectangle 26"/>
                      <a:cNvSpPr>
                        <a:spLocks noChangeArrowheads="1"/>
                      </a:cNvSpPr>
                    </a:nvSpPr>
                    <a:spPr bwMode="auto">
                      <a:xfrm>
                        <a:off x="3863391" y="4863838"/>
                        <a:ext cx="1066800" cy="1563657"/>
                      </a:xfrm>
                      <a:prstGeom prst="rect">
                        <a:avLst/>
                      </a:prstGeom>
                      <a:gradFill rotWithShape="1">
                        <a:gsLst>
                          <a:gs pos="0">
                            <a:srgbClr val="FF9900">
                              <a:gamma/>
                              <a:shade val="46275"/>
                              <a:invGamma/>
                            </a:srgbClr>
                          </a:gs>
                          <a:gs pos="100000">
                            <a:srgbClr val="FF9900"/>
                          </a:gs>
                        </a:gsLst>
                        <a:lin ang="5400000" scaled="1"/>
                      </a:gradFill>
                      <a:ln w="28575">
                        <a:noFill/>
                        <a:miter lim="800000"/>
                        <a:headEnd type="none" w="sm" len="sm"/>
                        <a:tailEnd type="none" w="sm" len="sm"/>
                      </a:ln>
                      <a:effectLst>
                        <a:outerShdw dist="107763" dir="2700000" algn="ctr" rotWithShape="0">
                          <a:schemeClr val="bg2">
                            <a:alpha val="50000"/>
                          </a:schemeClr>
                        </a:outerShdw>
                      </a:effectLst>
                    </a:spPr>
                    <a:txSp>
                      <a:txBody>
                        <a:bodyPr wrap="none" lIns="96661" tIns="48331" rIns="96661" bIns="48331"/>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lgn="ctr" defTabSz="966788">
                            <a:lnSpc>
                              <a:spcPct val="100000"/>
                            </a:lnSpc>
                            <a:spcBef>
                              <a:spcPct val="0"/>
                            </a:spcBef>
                            <a:spcAft>
                              <a:spcPct val="0"/>
                            </a:spcAft>
                            <a:buClrTx/>
                            <a:buFontTx/>
                            <a:buNone/>
                          </a:pPr>
                          <a:r>
                            <a:rPr lang="en-US" sz="1000" b="1" dirty="0" smtClean="0">
                              <a:solidFill>
                                <a:schemeClr val="bg1"/>
                              </a:solidFill>
                            </a:rPr>
                            <a:t>Educational</a:t>
                          </a:r>
                        </a:p>
                        <a:p>
                          <a:pPr algn="ctr" defTabSz="966788">
                            <a:lnSpc>
                              <a:spcPct val="100000"/>
                            </a:lnSpc>
                            <a:spcBef>
                              <a:spcPct val="0"/>
                            </a:spcBef>
                            <a:spcAft>
                              <a:spcPct val="0"/>
                            </a:spcAft>
                            <a:buClrTx/>
                            <a:buFontTx/>
                            <a:buNone/>
                          </a:pPr>
                          <a:r>
                            <a:rPr lang="en-US" sz="1000" b="1" dirty="0" smtClean="0">
                              <a:solidFill>
                                <a:schemeClr val="bg1"/>
                              </a:solidFill>
                            </a:rPr>
                            <a:t>Outreach</a:t>
                          </a:r>
                          <a:endParaRPr lang="en-US" sz="1300" b="1" dirty="0">
                            <a:solidFill>
                              <a:schemeClr val="bg1"/>
                            </a:solidFill>
                          </a:endParaRPr>
                        </a:p>
                      </a:txBody>
                      <a:useSpRect/>
                    </a:txSp>
                  </a:sp>
                  <a:sp>
                    <a:nvSpPr>
                      <a:cNvPr id="86" name="Rectangle 26"/>
                      <a:cNvSpPr>
                        <a:spLocks noChangeArrowheads="1"/>
                      </a:cNvSpPr>
                    </a:nvSpPr>
                    <a:spPr bwMode="auto">
                      <a:xfrm>
                        <a:off x="5170473" y="4863775"/>
                        <a:ext cx="1066800" cy="1563657"/>
                      </a:xfrm>
                      <a:prstGeom prst="rect">
                        <a:avLst/>
                      </a:prstGeom>
                      <a:gradFill rotWithShape="1">
                        <a:gsLst>
                          <a:gs pos="0">
                            <a:srgbClr val="FF9900">
                              <a:gamma/>
                              <a:shade val="46275"/>
                              <a:invGamma/>
                            </a:srgbClr>
                          </a:gs>
                          <a:gs pos="100000">
                            <a:srgbClr val="FF9900"/>
                          </a:gs>
                        </a:gsLst>
                        <a:lin ang="5400000" scaled="1"/>
                      </a:gradFill>
                      <a:ln w="28575">
                        <a:noFill/>
                        <a:miter lim="800000"/>
                        <a:headEnd type="none" w="sm" len="sm"/>
                        <a:tailEnd type="none" w="sm" len="sm"/>
                      </a:ln>
                      <a:effectLst>
                        <a:outerShdw dist="107763" dir="2700000" algn="ctr" rotWithShape="0">
                          <a:schemeClr val="bg2">
                            <a:alpha val="50000"/>
                          </a:schemeClr>
                        </a:outerShdw>
                      </a:effectLst>
                    </a:spPr>
                    <a:txSp>
                      <a:txBody>
                        <a:bodyPr wrap="none" lIns="96661" tIns="48331" rIns="96661" bIns="48331"/>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lgn="ctr" defTabSz="966788">
                            <a:lnSpc>
                              <a:spcPct val="100000"/>
                            </a:lnSpc>
                            <a:spcBef>
                              <a:spcPct val="0"/>
                            </a:spcBef>
                            <a:spcAft>
                              <a:spcPct val="0"/>
                            </a:spcAft>
                            <a:buClrTx/>
                            <a:buFontTx/>
                            <a:buNone/>
                          </a:pPr>
                          <a:r>
                            <a:rPr lang="en-US" sz="1000" b="1" dirty="0" smtClean="0">
                              <a:solidFill>
                                <a:schemeClr val="bg1"/>
                              </a:solidFill>
                            </a:rPr>
                            <a:t>Community</a:t>
                          </a:r>
                        </a:p>
                        <a:p>
                          <a:pPr algn="ctr" defTabSz="966788">
                            <a:lnSpc>
                              <a:spcPct val="100000"/>
                            </a:lnSpc>
                            <a:spcBef>
                              <a:spcPct val="0"/>
                            </a:spcBef>
                            <a:spcAft>
                              <a:spcPct val="0"/>
                            </a:spcAft>
                            <a:buClrTx/>
                            <a:buFontTx/>
                            <a:buNone/>
                          </a:pPr>
                          <a:r>
                            <a:rPr lang="en-US" sz="1000" b="1" dirty="0" smtClean="0">
                              <a:solidFill>
                                <a:schemeClr val="bg1"/>
                              </a:solidFill>
                            </a:rPr>
                            <a:t>Outreach</a:t>
                          </a:r>
                          <a:endParaRPr lang="en-US" sz="1300" b="1" dirty="0">
                            <a:solidFill>
                              <a:schemeClr val="bg1"/>
                            </a:solidFill>
                          </a:endParaRPr>
                        </a:p>
                      </a:txBody>
                      <a:useSpRect/>
                    </a:txSp>
                  </a:sp>
                  <a:sp>
                    <a:nvSpPr>
                      <a:cNvPr id="88" name="Rectangle 26"/>
                      <a:cNvSpPr>
                        <a:spLocks noChangeArrowheads="1"/>
                      </a:cNvSpPr>
                    </a:nvSpPr>
                    <a:spPr bwMode="auto">
                      <a:xfrm>
                        <a:off x="6459216" y="4865255"/>
                        <a:ext cx="1066800" cy="1563657"/>
                      </a:xfrm>
                      <a:prstGeom prst="rect">
                        <a:avLst/>
                      </a:prstGeom>
                      <a:gradFill rotWithShape="1">
                        <a:gsLst>
                          <a:gs pos="0">
                            <a:srgbClr val="FF9900">
                              <a:gamma/>
                              <a:shade val="46275"/>
                              <a:invGamma/>
                            </a:srgbClr>
                          </a:gs>
                          <a:gs pos="100000">
                            <a:srgbClr val="FF9900"/>
                          </a:gs>
                        </a:gsLst>
                        <a:lin ang="5400000" scaled="1"/>
                      </a:gradFill>
                      <a:ln w="28575">
                        <a:noFill/>
                        <a:miter lim="800000"/>
                        <a:headEnd type="none" w="sm" len="sm"/>
                        <a:tailEnd type="none" w="sm" len="sm"/>
                      </a:ln>
                      <a:effectLst>
                        <a:outerShdw dist="107763" dir="2700000" algn="ctr" rotWithShape="0">
                          <a:schemeClr val="bg2">
                            <a:alpha val="50000"/>
                          </a:schemeClr>
                        </a:outerShdw>
                      </a:effectLst>
                    </a:spPr>
                    <a:txSp>
                      <a:txBody>
                        <a:bodyPr wrap="none" lIns="96661" tIns="48331" rIns="96661" bIns="48331"/>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lgn="ctr" defTabSz="966788">
                            <a:lnSpc>
                              <a:spcPct val="100000"/>
                            </a:lnSpc>
                            <a:spcBef>
                              <a:spcPct val="0"/>
                            </a:spcBef>
                            <a:spcAft>
                              <a:spcPct val="0"/>
                            </a:spcAft>
                            <a:buClrTx/>
                            <a:buFontTx/>
                            <a:buNone/>
                          </a:pPr>
                          <a:r>
                            <a:rPr lang="en-US" sz="1000" b="1" dirty="0" smtClean="0">
                              <a:solidFill>
                                <a:schemeClr val="bg1"/>
                              </a:solidFill>
                            </a:rPr>
                            <a:t>Recruitment &amp;</a:t>
                          </a:r>
                        </a:p>
                        <a:p>
                          <a:pPr algn="ctr" defTabSz="966788">
                            <a:lnSpc>
                              <a:spcPct val="100000"/>
                            </a:lnSpc>
                            <a:spcBef>
                              <a:spcPct val="0"/>
                            </a:spcBef>
                            <a:spcAft>
                              <a:spcPct val="0"/>
                            </a:spcAft>
                            <a:buClrTx/>
                            <a:buFontTx/>
                            <a:buNone/>
                          </a:pPr>
                          <a:r>
                            <a:rPr lang="en-US" sz="1000" b="1" dirty="0" smtClean="0">
                              <a:solidFill>
                                <a:schemeClr val="bg1"/>
                              </a:solidFill>
                            </a:rPr>
                            <a:t>Retention</a:t>
                          </a:r>
                          <a:endParaRPr lang="en-US" sz="1300" b="1" dirty="0">
                            <a:solidFill>
                              <a:schemeClr val="bg1"/>
                            </a:solidFill>
                          </a:endParaRPr>
                        </a:p>
                      </a:txBody>
                      <a:useSpRect/>
                    </a:txSp>
                  </a:sp>
                  <a:sp>
                    <a:nvSpPr>
                      <a:cNvPr id="89" name="Rectangle 88"/>
                      <a:cNvSpPr/>
                    </a:nvSpPr>
                    <a:spPr bwMode="auto">
                      <a:xfrm>
                        <a:off x="1491432" y="5251152"/>
                        <a:ext cx="559220" cy="725475"/>
                      </a:xfrm>
                      <a:prstGeom prst="rect">
                        <a:avLst/>
                      </a:prstGeom>
                      <a:solidFill>
                        <a:schemeClr val="tx1"/>
                      </a:solidFill>
                      <a:ln w="9525" cap="flat" cmpd="sng" algn="ctr">
                        <a:noFill/>
                        <a:prstDash val="solid"/>
                        <a:round/>
                        <a:headEnd type="none" w="med" len="med"/>
                        <a:tailEnd type="none" w="med" len="med"/>
                      </a:ln>
                      <a:effectLst/>
                    </a:spPr>
                    <a:txSp>
                      <a:txBody>
                        <a:bodyPr vert="horz" wrap="square" lIns="91440" tIns="45720" rIns="91440" bIns="45720" numCol="1" rtlCol="0" anchor="t" anchorCtr="0" compatLnSpc="1">
                          <a:prstTxWarp prst="textNoShape">
                            <a:avLst/>
                          </a:prstTxWarp>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marL="1582738" marR="0" indent="-381000" algn="l" defTabSz="966788" rtl="0" eaLnBrk="1" fontAlgn="base" latinLnBrk="0" hangingPunct="1">
                            <a:lnSpc>
                              <a:spcPct val="90000"/>
                            </a:lnSpc>
                            <a:spcBef>
                              <a:spcPct val="20000"/>
                            </a:spcBef>
                            <a:spcAft>
                              <a:spcPct val="50000"/>
                            </a:spcAft>
                            <a:buClr>
                              <a:srgbClr val="990000"/>
                            </a:buClr>
                            <a:buSzTx/>
                            <a:buFont typeface="Wingdings" pitchFamily="2" charset="2"/>
                            <a:buChar char="Ø"/>
                            <a:tabLst/>
                          </a:pPr>
                          <a:endParaRPr kumimoji="0" lang="en-US" sz="1600" b="0" i="0" u="none" strike="noStrike" cap="none" normalizeH="0" baseline="0" dirty="0" smtClean="0">
                            <a:ln>
                              <a:noFill/>
                            </a:ln>
                            <a:solidFill>
                              <a:schemeClr val="tx1"/>
                            </a:solidFill>
                            <a:effectLst/>
                            <a:latin typeface="Arial" charset="0"/>
                            <a:cs typeface="Arial" charset="0"/>
                          </a:endParaRPr>
                        </a:p>
                      </a:txBody>
                      <a:useSpRect/>
                    </a:txSp>
                  </a:sp>
                  <a:sp>
                    <a:nvSpPr>
                      <a:cNvPr id="90" name="Rectangle 89"/>
                      <a:cNvSpPr/>
                    </a:nvSpPr>
                    <a:spPr bwMode="auto">
                      <a:xfrm>
                        <a:off x="2807393" y="5252632"/>
                        <a:ext cx="559220" cy="725475"/>
                      </a:xfrm>
                      <a:prstGeom prst="rect">
                        <a:avLst/>
                      </a:prstGeom>
                      <a:solidFill>
                        <a:schemeClr val="tx1"/>
                      </a:solidFill>
                      <a:ln w="9525" cap="flat" cmpd="sng" algn="ctr">
                        <a:noFill/>
                        <a:prstDash val="solid"/>
                        <a:round/>
                        <a:headEnd type="none" w="med" len="med"/>
                        <a:tailEnd type="none" w="med" len="med"/>
                      </a:ln>
                      <a:effectLst/>
                    </a:spPr>
                    <a:txSp>
                      <a:txBody>
                        <a:bodyPr vert="horz" wrap="square" lIns="91440" tIns="45720" rIns="91440" bIns="45720" numCol="1" rtlCol="0" anchor="t" anchorCtr="0" compatLnSpc="1">
                          <a:prstTxWarp prst="textNoShape">
                            <a:avLst/>
                          </a:prstTxWarp>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marL="1582738" marR="0" indent="-381000" algn="l" defTabSz="966788" rtl="0" eaLnBrk="1" fontAlgn="base" latinLnBrk="0" hangingPunct="1">
                            <a:lnSpc>
                              <a:spcPct val="90000"/>
                            </a:lnSpc>
                            <a:spcBef>
                              <a:spcPct val="20000"/>
                            </a:spcBef>
                            <a:spcAft>
                              <a:spcPct val="50000"/>
                            </a:spcAft>
                            <a:buClr>
                              <a:srgbClr val="990000"/>
                            </a:buClr>
                            <a:buSzTx/>
                            <a:buFont typeface="Wingdings" pitchFamily="2" charset="2"/>
                            <a:buChar char="Ø"/>
                            <a:tabLst/>
                          </a:pPr>
                          <a:endParaRPr kumimoji="0" lang="en-US" sz="1600" b="0" i="0" u="none" strike="noStrike" cap="none" normalizeH="0" baseline="0" dirty="0" smtClean="0">
                            <a:ln>
                              <a:noFill/>
                            </a:ln>
                            <a:solidFill>
                              <a:schemeClr val="tx1"/>
                            </a:solidFill>
                            <a:effectLst/>
                            <a:latin typeface="Arial" charset="0"/>
                            <a:cs typeface="Arial" charset="0"/>
                          </a:endParaRPr>
                        </a:p>
                      </a:txBody>
                      <a:useSpRect/>
                    </a:txSp>
                  </a:sp>
                  <a:sp>
                    <a:nvSpPr>
                      <a:cNvPr id="92" name="Rectangle 91"/>
                      <a:cNvSpPr/>
                    </a:nvSpPr>
                    <a:spPr bwMode="auto">
                      <a:xfrm>
                        <a:off x="4117181" y="5243754"/>
                        <a:ext cx="559220" cy="725475"/>
                      </a:xfrm>
                      <a:prstGeom prst="rect">
                        <a:avLst/>
                      </a:prstGeom>
                      <a:solidFill>
                        <a:schemeClr val="tx1"/>
                      </a:solidFill>
                      <a:ln w="9525" cap="flat" cmpd="sng" algn="ctr">
                        <a:noFill/>
                        <a:prstDash val="solid"/>
                        <a:round/>
                        <a:headEnd type="none" w="med" len="med"/>
                        <a:tailEnd type="none" w="med" len="med"/>
                      </a:ln>
                      <a:effectLst/>
                    </a:spPr>
                    <a:txSp>
                      <a:txBody>
                        <a:bodyPr vert="horz" wrap="square" lIns="91440" tIns="45720" rIns="91440" bIns="45720" numCol="1" rtlCol="0" anchor="t" anchorCtr="0" compatLnSpc="1">
                          <a:prstTxWarp prst="textNoShape">
                            <a:avLst/>
                          </a:prstTxWarp>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marL="1582738" marR="0" indent="-381000" algn="l" defTabSz="966788" rtl="0" eaLnBrk="1" fontAlgn="base" latinLnBrk="0" hangingPunct="1">
                            <a:lnSpc>
                              <a:spcPct val="90000"/>
                            </a:lnSpc>
                            <a:spcBef>
                              <a:spcPct val="20000"/>
                            </a:spcBef>
                            <a:spcAft>
                              <a:spcPct val="50000"/>
                            </a:spcAft>
                            <a:buClr>
                              <a:srgbClr val="990000"/>
                            </a:buClr>
                            <a:buSzTx/>
                            <a:buFont typeface="Wingdings" pitchFamily="2" charset="2"/>
                            <a:buChar char="Ø"/>
                            <a:tabLst/>
                          </a:pPr>
                          <a:endParaRPr kumimoji="0" lang="en-US" sz="1600" b="0" i="0" u="none" strike="noStrike" cap="none" normalizeH="0" baseline="0" dirty="0" smtClean="0">
                            <a:ln>
                              <a:noFill/>
                            </a:ln>
                            <a:solidFill>
                              <a:schemeClr val="tx1"/>
                            </a:solidFill>
                            <a:effectLst/>
                            <a:latin typeface="Arial" charset="0"/>
                            <a:cs typeface="Arial" charset="0"/>
                          </a:endParaRPr>
                        </a:p>
                      </a:txBody>
                      <a:useSpRect/>
                    </a:txSp>
                  </a:sp>
                  <a:sp>
                    <a:nvSpPr>
                      <a:cNvPr id="94" name="Rectangle 93"/>
                      <a:cNvSpPr/>
                    </a:nvSpPr>
                    <a:spPr bwMode="auto">
                      <a:xfrm>
                        <a:off x="5424263" y="5225998"/>
                        <a:ext cx="559220" cy="725475"/>
                      </a:xfrm>
                      <a:prstGeom prst="rect">
                        <a:avLst/>
                      </a:prstGeom>
                      <a:solidFill>
                        <a:schemeClr val="tx1"/>
                      </a:solidFill>
                      <a:ln w="9525" cap="flat" cmpd="sng" algn="ctr">
                        <a:noFill/>
                        <a:prstDash val="solid"/>
                        <a:round/>
                        <a:headEnd type="none" w="med" len="med"/>
                        <a:tailEnd type="none" w="med" len="med"/>
                      </a:ln>
                      <a:effectLst/>
                    </a:spPr>
                    <a:txSp>
                      <a:txBody>
                        <a:bodyPr vert="horz" wrap="square" lIns="91440" tIns="45720" rIns="91440" bIns="45720" numCol="1" rtlCol="0" anchor="t" anchorCtr="0" compatLnSpc="1">
                          <a:prstTxWarp prst="textNoShape">
                            <a:avLst/>
                          </a:prstTxWarp>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marL="1582738" marR="0" indent="-381000" algn="l" defTabSz="966788" rtl="0" eaLnBrk="1" fontAlgn="base" latinLnBrk="0" hangingPunct="1">
                            <a:lnSpc>
                              <a:spcPct val="90000"/>
                            </a:lnSpc>
                            <a:spcBef>
                              <a:spcPct val="20000"/>
                            </a:spcBef>
                            <a:spcAft>
                              <a:spcPct val="50000"/>
                            </a:spcAft>
                            <a:buClr>
                              <a:srgbClr val="990000"/>
                            </a:buClr>
                            <a:buSzTx/>
                            <a:buFont typeface="Wingdings" pitchFamily="2" charset="2"/>
                            <a:buChar char="Ø"/>
                            <a:tabLst/>
                          </a:pPr>
                          <a:endParaRPr kumimoji="0" lang="en-US" sz="1600" b="0" i="0" u="none" strike="noStrike" cap="none" normalizeH="0" baseline="0" dirty="0" smtClean="0">
                            <a:ln>
                              <a:noFill/>
                            </a:ln>
                            <a:solidFill>
                              <a:schemeClr val="tx1"/>
                            </a:solidFill>
                            <a:effectLst/>
                            <a:latin typeface="Arial" charset="0"/>
                            <a:cs typeface="Arial" charset="0"/>
                          </a:endParaRPr>
                        </a:p>
                      </a:txBody>
                      <a:useSpRect/>
                    </a:txSp>
                  </a:sp>
                  <a:sp>
                    <a:nvSpPr>
                      <a:cNvPr id="95" name="Rectangle 94"/>
                      <a:cNvSpPr/>
                    </a:nvSpPr>
                    <a:spPr bwMode="auto">
                      <a:xfrm>
                        <a:off x="6713006" y="5225999"/>
                        <a:ext cx="559220" cy="725475"/>
                      </a:xfrm>
                      <a:prstGeom prst="rect">
                        <a:avLst/>
                      </a:prstGeom>
                      <a:solidFill>
                        <a:schemeClr val="tx1"/>
                      </a:solidFill>
                      <a:ln w="9525" cap="flat" cmpd="sng" algn="ctr">
                        <a:noFill/>
                        <a:prstDash val="solid"/>
                        <a:round/>
                        <a:headEnd type="none" w="med" len="med"/>
                        <a:tailEnd type="none" w="med" len="med"/>
                      </a:ln>
                      <a:effectLst/>
                    </a:spPr>
                    <a:txSp>
                      <a:txBody>
                        <a:bodyPr vert="horz" wrap="square" lIns="91440" tIns="45720" rIns="91440" bIns="45720" numCol="1" rtlCol="0" anchor="t" anchorCtr="0" compatLnSpc="1">
                          <a:prstTxWarp prst="textNoShape">
                            <a:avLst/>
                          </a:prstTxWarp>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marL="1582738" marR="0" indent="-381000" algn="l" defTabSz="966788" rtl="0" eaLnBrk="1" fontAlgn="base" latinLnBrk="0" hangingPunct="1">
                            <a:lnSpc>
                              <a:spcPct val="90000"/>
                            </a:lnSpc>
                            <a:spcBef>
                              <a:spcPct val="20000"/>
                            </a:spcBef>
                            <a:spcAft>
                              <a:spcPct val="50000"/>
                            </a:spcAft>
                            <a:buClr>
                              <a:srgbClr val="990000"/>
                            </a:buClr>
                            <a:buSzTx/>
                            <a:buFont typeface="Wingdings" pitchFamily="2" charset="2"/>
                            <a:buChar char="Ø"/>
                            <a:tabLst/>
                          </a:pPr>
                          <a:endParaRPr kumimoji="0" lang="en-US" sz="1600" b="0" i="0" u="none" strike="noStrike" cap="none" normalizeH="0" baseline="0" dirty="0" smtClean="0">
                            <a:ln>
                              <a:noFill/>
                            </a:ln>
                            <a:solidFill>
                              <a:schemeClr val="tx1"/>
                            </a:solidFill>
                            <a:effectLst/>
                            <a:latin typeface="Arial" charset="0"/>
                            <a:cs typeface="Arial" charset="0"/>
                          </a:endParaRPr>
                        </a:p>
                      </a:txBody>
                      <a:useSpRect/>
                    </a:txSp>
                  </a:sp>
                  <a:sp>
                    <a:nvSpPr>
                      <a:cNvPr id="96" name="Rectangle 26"/>
                      <a:cNvSpPr>
                        <a:spLocks noChangeArrowheads="1"/>
                      </a:cNvSpPr>
                    </a:nvSpPr>
                    <a:spPr bwMode="auto">
                      <a:xfrm>
                        <a:off x="7703569" y="4866734"/>
                        <a:ext cx="1066800" cy="1563657"/>
                      </a:xfrm>
                      <a:prstGeom prst="rect">
                        <a:avLst/>
                      </a:prstGeom>
                      <a:gradFill rotWithShape="1">
                        <a:gsLst>
                          <a:gs pos="0">
                            <a:srgbClr val="FF9900">
                              <a:gamma/>
                              <a:shade val="46275"/>
                              <a:invGamma/>
                            </a:srgbClr>
                          </a:gs>
                          <a:gs pos="100000">
                            <a:srgbClr val="FF9900"/>
                          </a:gs>
                        </a:gsLst>
                        <a:lin ang="5400000" scaled="1"/>
                      </a:gradFill>
                      <a:ln w="28575">
                        <a:noFill/>
                        <a:miter lim="800000"/>
                        <a:headEnd type="none" w="sm" len="sm"/>
                        <a:tailEnd type="none" w="sm" len="sm"/>
                      </a:ln>
                      <a:effectLst>
                        <a:outerShdw dist="107763" dir="2700000" algn="ctr" rotWithShape="0">
                          <a:schemeClr val="bg2">
                            <a:alpha val="50000"/>
                          </a:schemeClr>
                        </a:outerShdw>
                      </a:effectLst>
                    </a:spPr>
                    <a:txSp>
                      <a:txBody>
                        <a:bodyPr wrap="none" lIns="96661" tIns="48331" rIns="96661" bIns="48331"/>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lgn="ctr" defTabSz="966788">
                            <a:lnSpc>
                              <a:spcPct val="100000"/>
                            </a:lnSpc>
                            <a:spcBef>
                              <a:spcPct val="0"/>
                            </a:spcBef>
                            <a:spcAft>
                              <a:spcPct val="0"/>
                            </a:spcAft>
                            <a:buClrTx/>
                            <a:buFontTx/>
                            <a:buNone/>
                          </a:pPr>
                          <a:r>
                            <a:rPr lang="en-US" sz="1000" b="1" dirty="0" smtClean="0">
                              <a:solidFill>
                                <a:schemeClr val="bg1"/>
                              </a:solidFill>
                            </a:rPr>
                            <a:t>Events &amp;</a:t>
                          </a:r>
                        </a:p>
                        <a:p>
                          <a:pPr algn="ctr" defTabSz="966788">
                            <a:lnSpc>
                              <a:spcPct val="100000"/>
                            </a:lnSpc>
                            <a:spcBef>
                              <a:spcPct val="0"/>
                            </a:spcBef>
                            <a:spcAft>
                              <a:spcPct val="0"/>
                            </a:spcAft>
                            <a:buClrTx/>
                            <a:buFontTx/>
                            <a:buNone/>
                          </a:pPr>
                          <a:r>
                            <a:rPr lang="en-US" sz="1000" b="1" dirty="0" smtClean="0">
                              <a:solidFill>
                                <a:schemeClr val="bg1"/>
                              </a:solidFill>
                            </a:rPr>
                            <a:t>Networking</a:t>
                          </a:r>
                          <a:endParaRPr lang="en-US" sz="1300" b="1" dirty="0">
                            <a:solidFill>
                              <a:schemeClr val="bg1"/>
                            </a:solidFill>
                          </a:endParaRPr>
                        </a:p>
                      </a:txBody>
                      <a:useSpRect/>
                    </a:txSp>
                  </a:sp>
                  <a:sp>
                    <a:nvSpPr>
                      <a:cNvPr id="97" name="Rectangle 96"/>
                      <a:cNvSpPr/>
                    </a:nvSpPr>
                    <a:spPr bwMode="auto">
                      <a:xfrm>
                        <a:off x="7957359" y="5227478"/>
                        <a:ext cx="559220" cy="725475"/>
                      </a:xfrm>
                      <a:prstGeom prst="rect">
                        <a:avLst/>
                      </a:prstGeom>
                      <a:solidFill>
                        <a:schemeClr val="tx1"/>
                      </a:solidFill>
                      <a:ln w="9525" cap="flat" cmpd="sng" algn="ctr">
                        <a:noFill/>
                        <a:prstDash val="solid"/>
                        <a:round/>
                        <a:headEnd type="none" w="med" len="med"/>
                        <a:tailEnd type="none" w="med" len="med"/>
                      </a:ln>
                      <a:effectLst/>
                    </a:spPr>
                    <a:txSp>
                      <a:txBody>
                        <a:bodyPr vert="horz" wrap="square" lIns="91440" tIns="45720" rIns="91440" bIns="45720" numCol="1" rtlCol="0" anchor="t" anchorCtr="0" compatLnSpc="1">
                          <a:prstTxWarp prst="textNoShape">
                            <a:avLst/>
                          </a:prstTxWarp>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marL="1582738" marR="0" indent="-381000" algn="l" defTabSz="966788" rtl="0" eaLnBrk="1" fontAlgn="base" latinLnBrk="0" hangingPunct="1">
                            <a:lnSpc>
                              <a:spcPct val="90000"/>
                            </a:lnSpc>
                            <a:spcBef>
                              <a:spcPct val="20000"/>
                            </a:spcBef>
                            <a:spcAft>
                              <a:spcPct val="50000"/>
                            </a:spcAft>
                            <a:buClr>
                              <a:srgbClr val="990000"/>
                            </a:buClr>
                            <a:buSzTx/>
                            <a:buFont typeface="Wingdings" pitchFamily="2" charset="2"/>
                            <a:buChar char="Ø"/>
                            <a:tabLst/>
                          </a:pPr>
                          <a:endParaRPr kumimoji="0" lang="en-US" sz="1600" b="0" i="0" u="none" strike="noStrike" cap="none" normalizeH="0" baseline="0" dirty="0" smtClean="0">
                            <a:ln>
                              <a:noFill/>
                            </a:ln>
                            <a:solidFill>
                              <a:schemeClr val="tx1"/>
                            </a:solidFill>
                            <a:effectLst/>
                            <a:latin typeface="Arial" charset="0"/>
                            <a:cs typeface="Arial" charset="0"/>
                          </a:endParaRPr>
                        </a:p>
                      </a:txBody>
                      <a:useSpRect/>
                    </a:txSp>
                  </a:sp>
                  <a:sp>
                    <a:nvSpPr>
                      <a:cNvPr id="168" name="TextBox 167"/>
                      <a:cNvSpPr txBox="1"/>
                    </a:nvSpPr>
                    <a:spPr>
                      <a:xfrm>
                        <a:off x="1457426" y="6172142"/>
                        <a:ext cx="627233" cy="230832"/>
                      </a:xfrm>
                      <a:prstGeom prst="rect">
                        <a:avLst/>
                      </a:prstGeom>
                      <a:noFill/>
                    </a:spPr>
                    <a:txSp>
                      <a:txBody>
                        <a:bodyPr wrap="square" rtlCol="0">
                          <a:spAutoFit/>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lgn="ctr">
                            <a:buNone/>
                          </a:pPr>
                          <a:r>
                            <a:rPr lang="en-US" sz="1000" b="1" dirty="0" smtClean="0">
                              <a:solidFill>
                                <a:srgbClr val="990000"/>
                              </a:solidFill>
                            </a:rPr>
                            <a:t>NGAS</a:t>
                          </a:r>
                          <a:endParaRPr lang="en-US" sz="1000" b="1" dirty="0">
                            <a:solidFill>
                              <a:srgbClr val="990000"/>
                            </a:solidFill>
                          </a:endParaRPr>
                        </a:p>
                      </a:txBody>
                      <a:useSpRect/>
                    </a:txSp>
                  </a:sp>
                  <a:sp>
                    <a:nvSpPr>
                      <a:cNvPr id="169" name="TextBox 168"/>
                      <a:cNvSpPr txBox="1"/>
                    </a:nvSpPr>
                    <a:spPr>
                      <a:xfrm>
                        <a:off x="2773387" y="6198775"/>
                        <a:ext cx="627233" cy="230832"/>
                      </a:xfrm>
                      <a:prstGeom prst="rect">
                        <a:avLst/>
                      </a:prstGeom>
                      <a:noFill/>
                    </a:spPr>
                    <a:txSp>
                      <a:txBody>
                        <a:bodyPr wrap="square" rtlCol="0">
                          <a:spAutoFit/>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lgn="ctr">
                            <a:buNone/>
                          </a:pPr>
                          <a:r>
                            <a:rPr lang="en-US" sz="1000" b="1" dirty="0" smtClean="0">
                              <a:solidFill>
                                <a:srgbClr val="990000"/>
                              </a:solidFill>
                            </a:rPr>
                            <a:t>NGES</a:t>
                          </a:r>
                          <a:endParaRPr lang="en-US" sz="1000" b="1" dirty="0">
                            <a:solidFill>
                              <a:srgbClr val="990000"/>
                            </a:solidFill>
                          </a:endParaRPr>
                        </a:p>
                      </a:txBody>
                      <a:useSpRect/>
                    </a:txSp>
                  </a:sp>
                  <a:sp>
                    <a:nvSpPr>
                      <a:cNvPr id="170" name="TextBox 169"/>
                      <a:cNvSpPr txBox="1"/>
                    </a:nvSpPr>
                    <a:spPr>
                      <a:xfrm>
                        <a:off x="4083175" y="6189897"/>
                        <a:ext cx="627233" cy="230832"/>
                      </a:xfrm>
                      <a:prstGeom prst="rect">
                        <a:avLst/>
                      </a:prstGeom>
                      <a:noFill/>
                    </a:spPr>
                    <a:txSp>
                      <a:txBody>
                        <a:bodyPr wrap="square" rtlCol="0">
                          <a:spAutoFit/>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lgn="ctr">
                            <a:buNone/>
                          </a:pPr>
                          <a:r>
                            <a:rPr lang="en-US" sz="1000" b="1" dirty="0" smtClean="0">
                              <a:solidFill>
                                <a:srgbClr val="990000"/>
                              </a:solidFill>
                            </a:rPr>
                            <a:t>NGIS</a:t>
                          </a:r>
                          <a:endParaRPr lang="en-US" sz="1000" b="1" dirty="0">
                            <a:solidFill>
                              <a:srgbClr val="990000"/>
                            </a:solidFill>
                          </a:endParaRPr>
                        </a:p>
                      </a:txBody>
                      <a:useSpRect/>
                    </a:txSp>
                  </a:sp>
                  <a:sp>
                    <a:nvSpPr>
                      <a:cNvPr id="172" name="TextBox 171"/>
                      <a:cNvSpPr txBox="1"/>
                    </a:nvSpPr>
                    <a:spPr>
                      <a:xfrm>
                        <a:off x="5390257" y="6191376"/>
                        <a:ext cx="627233" cy="230832"/>
                      </a:xfrm>
                      <a:prstGeom prst="rect">
                        <a:avLst/>
                      </a:prstGeom>
                      <a:noFill/>
                    </a:spPr>
                    <a:txSp>
                      <a:txBody>
                        <a:bodyPr wrap="square" rtlCol="0">
                          <a:spAutoFit/>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lgn="ctr">
                            <a:buNone/>
                          </a:pPr>
                          <a:r>
                            <a:rPr lang="en-US" sz="1000" b="1" dirty="0" smtClean="0">
                              <a:solidFill>
                                <a:srgbClr val="990000"/>
                              </a:solidFill>
                            </a:rPr>
                            <a:t>NGTS</a:t>
                          </a:r>
                          <a:endParaRPr lang="en-US" sz="1000" b="1" dirty="0">
                            <a:solidFill>
                              <a:srgbClr val="990000"/>
                            </a:solidFill>
                          </a:endParaRPr>
                        </a:p>
                      </a:txBody>
                      <a:useSpRect/>
                    </a:txSp>
                  </a:sp>
                  <a:sp>
                    <a:nvSpPr>
                      <a:cNvPr id="173" name="TextBox 172"/>
                      <a:cNvSpPr txBox="1"/>
                    </a:nvSpPr>
                    <a:spPr>
                      <a:xfrm>
                        <a:off x="6679000" y="6200254"/>
                        <a:ext cx="627233" cy="230832"/>
                      </a:xfrm>
                      <a:prstGeom prst="rect">
                        <a:avLst/>
                      </a:prstGeom>
                      <a:noFill/>
                    </a:spPr>
                    <a:txSp>
                      <a:txBody>
                        <a:bodyPr wrap="square" rtlCol="0">
                          <a:spAutoFit/>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lgn="ctr">
                            <a:buNone/>
                          </a:pPr>
                          <a:r>
                            <a:rPr lang="en-US" sz="1000" b="1" dirty="0" smtClean="0">
                              <a:solidFill>
                                <a:srgbClr val="990000"/>
                              </a:solidFill>
                            </a:rPr>
                            <a:t>NGTS</a:t>
                          </a:r>
                          <a:endParaRPr lang="en-US" sz="1000" b="1" dirty="0">
                            <a:solidFill>
                              <a:srgbClr val="990000"/>
                            </a:solidFill>
                          </a:endParaRPr>
                        </a:p>
                      </a:txBody>
                      <a:useSpRect/>
                    </a:txSp>
                  </a:sp>
                  <a:sp>
                    <a:nvSpPr>
                      <a:cNvPr id="175" name="TextBox 174"/>
                      <a:cNvSpPr txBox="1"/>
                    </a:nvSpPr>
                    <a:spPr>
                      <a:xfrm>
                        <a:off x="7923353" y="6210611"/>
                        <a:ext cx="627233" cy="230832"/>
                      </a:xfrm>
                      <a:prstGeom prst="rect">
                        <a:avLst/>
                      </a:prstGeom>
                      <a:noFill/>
                    </a:spPr>
                    <a:txSp>
                      <a:txBody>
                        <a:bodyPr wrap="square" rtlCol="0">
                          <a:spAutoFit/>
                        </a:bodyPr>
                        <a:lstStyle>
                          <a:defPPr>
                            <a:defRPr lang="en-US"/>
                          </a:defPPr>
                          <a:lvl1pPr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1pPr>
                          <a:lvl2pPr marL="4572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2pPr>
                          <a:lvl3pPr marL="9144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3pPr>
                          <a:lvl4pPr marL="13716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4pPr>
                          <a:lvl5pPr marL="1828800" algn="l" rtl="0" fontAlgn="base">
                            <a:lnSpc>
                              <a:spcPct val="90000"/>
                            </a:lnSpc>
                            <a:spcBef>
                              <a:spcPct val="20000"/>
                            </a:spcBef>
                            <a:spcAft>
                              <a:spcPct val="50000"/>
                            </a:spcAft>
                            <a:buClr>
                              <a:srgbClr val="990000"/>
                            </a:buClr>
                            <a:buFont typeface="Wingdings" pitchFamily="2" charset="2"/>
                            <a:buChar char="Ø"/>
                            <a:defRPr sz="1600" kern="1200">
                              <a:solidFill>
                                <a:schemeClr val="tx1"/>
                              </a:solidFill>
                              <a:latin typeface="Arial" charset="0"/>
                              <a:ea typeface="+mn-ea"/>
                              <a:cs typeface="Arial" charset="0"/>
                            </a:defRPr>
                          </a:lvl5pPr>
                          <a:lvl6pPr marL="2286000" algn="l" defTabSz="914400" rtl="0" eaLnBrk="1" latinLnBrk="0" hangingPunct="1">
                            <a:defRPr sz="1600" kern="1200">
                              <a:solidFill>
                                <a:schemeClr val="tx1"/>
                              </a:solidFill>
                              <a:latin typeface="Arial" charset="0"/>
                              <a:ea typeface="+mn-ea"/>
                              <a:cs typeface="Arial" charset="0"/>
                            </a:defRPr>
                          </a:lvl6pPr>
                          <a:lvl7pPr marL="2743200" algn="l" defTabSz="914400" rtl="0" eaLnBrk="1" latinLnBrk="0" hangingPunct="1">
                            <a:defRPr sz="1600" kern="1200">
                              <a:solidFill>
                                <a:schemeClr val="tx1"/>
                              </a:solidFill>
                              <a:latin typeface="Arial" charset="0"/>
                              <a:ea typeface="+mn-ea"/>
                              <a:cs typeface="Arial" charset="0"/>
                            </a:defRPr>
                          </a:lvl7pPr>
                          <a:lvl8pPr marL="3200400" algn="l" defTabSz="914400" rtl="0" eaLnBrk="1" latinLnBrk="0" hangingPunct="1">
                            <a:defRPr sz="1600" kern="1200">
                              <a:solidFill>
                                <a:schemeClr val="tx1"/>
                              </a:solidFill>
                              <a:latin typeface="Arial" charset="0"/>
                              <a:ea typeface="+mn-ea"/>
                              <a:cs typeface="Arial" charset="0"/>
                            </a:defRPr>
                          </a:lvl8pPr>
                          <a:lvl9pPr marL="3657600" algn="l" defTabSz="914400" rtl="0" eaLnBrk="1" latinLnBrk="0" hangingPunct="1">
                            <a:defRPr sz="1600" kern="1200">
                              <a:solidFill>
                                <a:schemeClr val="tx1"/>
                              </a:solidFill>
                              <a:latin typeface="Arial" charset="0"/>
                              <a:ea typeface="+mn-ea"/>
                              <a:cs typeface="Arial" charset="0"/>
                            </a:defRPr>
                          </a:lvl9pPr>
                        </a:lstStyle>
                        <a:p>
                          <a:pPr algn="ctr">
                            <a:buNone/>
                          </a:pPr>
                          <a:r>
                            <a:rPr lang="en-US" sz="1000" b="1" dirty="0" smtClean="0">
                              <a:solidFill>
                                <a:srgbClr val="990000"/>
                              </a:solidFill>
                            </a:rPr>
                            <a:t>NGAS</a:t>
                          </a:r>
                          <a:endParaRPr lang="en-US" sz="1000" b="1" dirty="0">
                            <a:solidFill>
                              <a:srgbClr val="990000"/>
                            </a:solidFill>
                          </a:endParaRPr>
                        </a:p>
                      </a:txBody>
                      <a:useSpRect/>
                    </a:txSp>
                  </a:sp>
                </lc:lockedCanvas>
              </a:graphicData>
            </a:graphic>
          </wp:inline>
        </w:drawing>
      </w:r>
    </w:p>
    <w:p w:rsidR="00E05966" w:rsidRDefault="00E05966" w:rsidP="00026FDD">
      <w:pPr>
        <w:pStyle w:val="Heading2"/>
        <w:rPr>
          <w:sz w:val="24"/>
          <w:szCs w:val="24"/>
        </w:rPr>
      </w:pPr>
    </w:p>
    <w:p w:rsidR="00D02F8E" w:rsidRDefault="00D02F8E" w:rsidP="002968BE">
      <w:pPr>
        <w:pStyle w:val="Heading1"/>
        <w:rPr>
          <w:color w:val="FF0000"/>
          <w:sz w:val="28"/>
          <w:szCs w:val="28"/>
        </w:rPr>
      </w:pPr>
      <w:bookmarkStart w:id="21" w:name="_Toc168885512"/>
      <w:bookmarkStart w:id="22" w:name="_Toc270322769"/>
      <w:bookmarkEnd w:id="19"/>
    </w:p>
    <w:p w:rsidR="00D02F8E" w:rsidRDefault="00D02F8E" w:rsidP="002968BE">
      <w:pPr>
        <w:pStyle w:val="Heading1"/>
        <w:rPr>
          <w:color w:val="FF0000"/>
          <w:sz w:val="28"/>
          <w:szCs w:val="28"/>
        </w:rPr>
      </w:pPr>
    </w:p>
    <w:p w:rsidR="00D02F8E" w:rsidRDefault="00D02F8E" w:rsidP="002968BE">
      <w:pPr>
        <w:pStyle w:val="Heading1"/>
        <w:rPr>
          <w:color w:val="FF0000"/>
          <w:sz w:val="28"/>
          <w:szCs w:val="28"/>
        </w:rPr>
      </w:pPr>
    </w:p>
    <w:p w:rsidR="00D02F8E" w:rsidRDefault="00D02F8E" w:rsidP="002968BE">
      <w:pPr>
        <w:pStyle w:val="Heading1"/>
        <w:rPr>
          <w:color w:val="FF0000"/>
          <w:sz w:val="28"/>
          <w:szCs w:val="28"/>
        </w:rPr>
      </w:pPr>
    </w:p>
    <w:p w:rsidR="00D02F8E" w:rsidRDefault="00D02F8E" w:rsidP="002968BE">
      <w:pPr>
        <w:pStyle w:val="Heading1"/>
        <w:rPr>
          <w:color w:val="FF0000"/>
          <w:sz w:val="28"/>
          <w:szCs w:val="28"/>
        </w:rPr>
      </w:pPr>
    </w:p>
    <w:p w:rsidR="00D02F8E" w:rsidRDefault="00D02F8E" w:rsidP="002968BE">
      <w:pPr>
        <w:pStyle w:val="Heading1"/>
        <w:rPr>
          <w:color w:val="FF0000"/>
          <w:sz w:val="28"/>
          <w:szCs w:val="28"/>
        </w:rPr>
      </w:pPr>
    </w:p>
    <w:bookmarkEnd w:id="21"/>
    <w:bookmarkEnd w:id="22"/>
    <w:p w:rsidR="002B3577" w:rsidRDefault="002B3577" w:rsidP="00CA3653">
      <w:pPr>
        <w:pStyle w:val="Heading1"/>
        <w:rPr>
          <w:color w:val="FF0000"/>
          <w:sz w:val="28"/>
          <w:szCs w:val="28"/>
        </w:rPr>
      </w:pPr>
    </w:p>
    <w:p w:rsidR="002D2DDB" w:rsidRDefault="002D2DDB"/>
    <w:p w:rsidR="00CA3653" w:rsidRPr="00BC708B" w:rsidRDefault="00CA3653" w:rsidP="001F6922">
      <w:pPr>
        <w:pStyle w:val="Heading1"/>
        <w:numPr>
          <w:ilvl w:val="0"/>
          <w:numId w:val="27"/>
        </w:numPr>
        <w:rPr>
          <w:sz w:val="28"/>
          <w:szCs w:val="28"/>
        </w:rPr>
      </w:pPr>
      <w:bookmarkStart w:id="23" w:name="_Toc290505464"/>
      <w:r w:rsidRPr="00BC708B">
        <w:rPr>
          <w:sz w:val="28"/>
          <w:szCs w:val="28"/>
        </w:rPr>
        <w:lastRenderedPageBreak/>
        <w:t>Program Elements/Comp</w:t>
      </w:r>
      <w:r>
        <w:rPr>
          <w:sz w:val="28"/>
          <w:szCs w:val="28"/>
        </w:rPr>
        <w:t>onents</w:t>
      </w:r>
      <w:bookmarkEnd w:id="23"/>
      <w:r w:rsidRPr="00BC708B">
        <w:rPr>
          <w:sz w:val="28"/>
          <w:szCs w:val="28"/>
        </w:rPr>
        <w:t xml:space="preserve"> </w:t>
      </w:r>
    </w:p>
    <w:p w:rsidR="00CA3653" w:rsidRPr="00AB169F" w:rsidRDefault="00CA3653" w:rsidP="001F6922">
      <w:pPr>
        <w:pStyle w:val="Heading1"/>
        <w:numPr>
          <w:ilvl w:val="1"/>
          <w:numId w:val="27"/>
        </w:numPr>
        <w:rPr>
          <w:sz w:val="28"/>
          <w:szCs w:val="28"/>
        </w:rPr>
      </w:pPr>
      <w:bookmarkStart w:id="24" w:name="_Toc168885527"/>
      <w:bookmarkStart w:id="25" w:name="_Toc169512035"/>
      <w:bookmarkStart w:id="26" w:name="_Toc290505465"/>
      <w:r w:rsidRPr="00AB169F">
        <w:rPr>
          <w:sz w:val="28"/>
          <w:szCs w:val="28"/>
        </w:rPr>
        <w:t>Events</w:t>
      </w:r>
      <w:bookmarkEnd w:id="24"/>
      <w:bookmarkEnd w:id="25"/>
      <w:bookmarkEnd w:id="26"/>
    </w:p>
    <w:p w:rsidR="0075076F" w:rsidRPr="00B92645" w:rsidRDefault="00CA3653" w:rsidP="0075076F">
      <w:pPr>
        <w:spacing w:before="100" w:beforeAutospacing="1"/>
        <w:rPr>
          <w:rFonts w:ascii="Arial" w:hAnsi="Arial" w:cs="Arial"/>
          <w:color w:val="333333"/>
        </w:rPr>
      </w:pPr>
      <w:r w:rsidRPr="00B92645">
        <w:rPr>
          <w:rFonts w:ascii="Arial" w:hAnsi="Arial" w:cs="Arial"/>
        </w:rPr>
        <w:t xml:space="preserve">Each sector </w:t>
      </w:r>
      <w:r w:rsidR="000103EA">
        <w:rPr>
          <w:rFonts w:ascii="Arial" w:hAnsi="Arial" w:cs="Arial"/>
        </w:rPr>
        <w:t xml:space="preserve">campus/regional chapter is responsible for planning their own events. They can select events that meet the needs and interests of their local/regional membership.  Events are to support at least one of the six pillars: Business Partner/Impact to the Business; Career &amp; Leadership Development; Networking/Organizational Exposure; Recruiting and Retention; Community Education/Outreach and Sustainment/Member Involvement.  All events must be done following the guidelines established in the Corporate Procedure CO No. H114, Employee Resource Group Procedure, CO No. J103, </w:t>
      </w:r>
      <w:hyperlink r:id="rId21" w:history="1">
        <w:r w:rsidR="001E28E9" w:rsidRPr="001E28E9">
          <w:rPr>
            <w:rStyle w:val="Hyperlink"/>
            <w:rFonts w:ascii="Arial" w:hAnsi="Arial" w:cs="Arial"/>
            <w:u w:val="none"/>
          </w:rPr>
          <w:t>CO No. H403</w:t>
        </w:r>
      </w:hyperlink>
      <w:r w:rsidR="001E28E9" w:rsidRPr="001E28E9">
        <w:rPr>
          <w:rFonts w:ascii="Arial" w:hAnsi="Arial" w:cs="Arial"/>
        </w:rPr>
        <w:t>, Privacy of Employee Information, and CO No. J103, Protection of information.</w:t>
      </w:r>
    </w:p>
    <w:p w:rsidR="00CA3653" w:rsidRPr="00B72670" w:rsidRDefault="00CA3653" w:rsidP="00CA3653">
      <w:pPr>
        <w:pStyle w:val="Body"/>
        <w:spacing w:before="120" w:after="60"/>
        <w:ind w:left="0"/>
        <w:rPr>
          <w:rFonts w:ascii="Arial" w:hAnsi="Arial" w:cs="Arial"/>
          <w:sz w:val="24"/>
          <w:szCs w:val="24"/>
        </w:rPr>
      </w:pPr>
    </w:p>
    <w:p w:rsidR="00CA3653" w:rsidRPr="00E839C0" w:rsidRDefault="00E060C5" w:rsidP="00CA3653">
      <w:pPr>
        <w:pStyle w:val="Body"/>
        <w:spacing w:before="120" w:after="60"/>
        <w:ind w:left="0"/>
        <w:rPr>
          <w:rFonts w:ascii="Arial" w:hAnsi="Arial" w:cs="Arial"/>
          <w:color w:val="FF0000"/>
          <w:sz w:val="24"/>
          <w:szCs w:val="24"/>
        </w:rPr>
      </w:pPr>
      <w:r>
        <w:rPr>
          <w:rFonts w:ascii="Arial" w:hAnsi="Arial" w:cs="Arial"/>
          <w:sz w:val="24"/>
          <w:szCs w:val="24"/>
        </w:rPr>
        <w:t>Some e</w:t>
      </w:r>
      <w:r w:rsidR="00CA3653" w:rsidRPr="00E839C0">
        <w:rPr>
          <w:rFonts w:ascii="Arial" w:hAnsi="Arial" w:cs="Arial"/>
          <w:sz w:val="24"/>
          <w:szCs w:val="24"/>
        </w:rPr>
        <w:t xml:space="preserve">vent ideas can be found </w:t>
      </w:r>
      <w:r w:rsidR="00CA3653">
        <w:rPr>
          <w:rFonts w:ascii="Arial" w:hAnsi="Arial" w:cs="Arial"/>
          <w:sz w:val="24"/>
          <w:szCs w:val="24"/>
        </w:rPr>
        <w:t>in</w:t>
      </w:r>
      <w:r w:rsidR="00CA3653" w:rsidRPr="00E839C0">
        <w:rPr>
          <w:rFonts w:ascii="Arial" w:hAnsi="Arial" w:cs="Arial"/>
          <w:sz w:val="24"/>
          <w:szCs w:val="24"/>
        </w:rPr>
        <w:t xml:space="preserve"> the Appendix</w:t>
      </w:r>
      <w:r>
        <w:rPr>
          <w:rFonts w:ascii="Arial" w:hAnsi="Arial" w:cs="Arial"/>
          <w:sz w:val="24"/>
          <w:szCs w:val="24"/>
        </w:rPr>
        <w:t xml:space="preserve"> section of this document</w:t>
      </w:r>
      <w:r w:rsidR="00CA3653">
        <w:rPr>
          <w:rFonts w:ascii="Arial" w:hAnsi="Arial" w:cs="Arial"/>
          <w:sz w:val="24"/>
          <w:szCs w:val="24"/>
        </w:rPr>
        <w:t>.</w:t>
      </w:r>
    </w:p>
    <w:p w:rsidR="00CA3653" w:rsidRPr="00AB169F" w:rsidRDefault="00CA3653" w:rsidP="001F6922">
      <w:pPr>
        <w:pStyle w:val="Heading1"/>
        <w:numPr>
          <w:ilvl w:val="1"/>
          <w:numId w:val="27"/>
        </w:numPr>
        <w:rPr>
          <w:sz w:val="28"/>
          <w:szCs w:val="28"/>
        </w:rPr>
      </w:pPr>
      <w:bookmarkStart w:id="27" w:name="_Toc168885525"/>
      <w:bookmarkStart w:id="28" w:name="_Toc169512037"/>
      <w:bookmarkStart w:id="29" w:name="_Toc290505466"/>
      <w:bookmarkStart w:id="30" w:name="_Toc168885528"/>
      <w:r w:rsidRPr="00AB169F">
        <w:rPr>
          <w:sz w:val="28"/>
          <w:szCs w:val="28"/>
        </w:rPr>
        <w:t>Common Branding and Collateral</w:t>
      </w:r>
      <w:bookmarkEnd w:id="27"/>
      <w:bookmarkEnd w:id="28"/>
      <w:bookmarkEnd w:id="29"/>
    </w:p>
    <w:p w:rsidR="00E17B97" w:rsidRDefault="00CA3653" w:rsidP="00CA3653">
      <w:pPr>
        <w:spacing w:before="120" w:after="60"/>
        <w:rPr>
          <w:rFonts w:ascii="Arial" w:hAnsi="Arial" w:cs="Arial"/>
        </w:rPr>
      </w:pPr>
      <w:r w:rsidRPr="00B72670">
        <w:rPr>
          <w:rFonts w:ascii="Arial" w:hAnsi="Arial" w:cs="Arial"/>
        </w:rPr>
        <w:t xml:space="preserve">The Enterprise Communications Chair will provide </w:t>
      </w:r>
      <w:r w:rsidR="00E17B97">
        <w:rPr>
          <w:rFonts w:ascii="Arial" w:hAnsi="Arial" w:cs="Arial"/>
        </w:rPr>
        <w:t xml:space="preserve">a common </w:t>
      </w:r>
      <w:r w:rsidRPr="00B72670">
        <w:rPr>
          <w:rFonts w:ascii="Arial" w:hAnsi="Arial" w:cs="Arial"/>
        </w:rPr>
        <w:t xml:space="preserve">logo and common branding materials in support of </w:t>
      </w:r>
      <w:r>
        <w:rPr>
          <w:rFonts w:ascii="Arial" w:hAnsi="Arial" w:cs="Arial"/>
        </w:rPr>
        <w:t>Adelante</w:t>
      </w:r>
      <w:r w:rsidRPr="00B72670">
        <w:rPr>
          <w:rFonts w:ascii="Arial" w:hAnsi="Arial" w:cs="Arial"/>
        </w:rPr>
        <w:t xml:space="preserve"> Chapters.    All collateral should support the </w:t>
      </w:r>
      <w:r>
        <w:rPr>
          <w:rFonts w:ascii="Arial" w:hAnsi="Arial" w:cs="Arial"/>
        </w:rPr>
        <w:t>Adelante</w:t>
      </w:r>
      <w:r w:rsidR="003F5643">
        <w:rPr>
          <w:rFonts w:ascii="Arial" w:hAnsi="Arial" w:cs="Arial"/>
        </w:rPr>
        <w:t xml:space="preserve"> </w:t>
      </w:r>
      <w:r w:rsidR="009307CE">
        <w:rPr>
          <w:rFonts w:ascii="Arial" w:hAnsi="Arial" w:cs="Arial"/>
        </w:rPr>
        <w:t xml:space="preserve">vision and </w:t>
      </w:r>
      <w:r w:rsidR="003F5643">
        <w:rPr>
          <w:rFonts w:ascii="Arial" w:hAnsi="Arial" w:cs="Arial"/>
        </w:rPr>
        <w:t>mission</w:t>
      </w:r>
      <w:r w:rsidRPr="00B72670">
        <w:rPr>
          <w:rFonts w:ascii="Arial" w:hAnsi="Arial" w:cs="Arial"/>
        </w:rPr>
        <w:t>.</w:t>
      </w:r>
      <w:r w:rsidR="00E17B97">
        <w:rPr>
          <w:rFonts w:ascii="Arial" w:hAnsi="Arial" w:cs="Arial"/>
        </w:rPr>
        <w:t xml:space="preserve">  </w:t>
      </w:r>
    </w:p>
    <w:p w:rsidR="00E17B97" w:rsidRDefault="00E17B97" w:rsidP="00CA3653">
      <w:pPr>
        <w:spacing w:before="120" w:after="60"/>
        <w:rPr>
          <w:rFonts w:ascii="Arial" w:hAnsi="Arial" w:cs="Arial"/>
        </w:rPr>
      </w:pPr>
      <w:r>
        <w:rPr>
          <w:rFonts w:ascii="Arial" w:hAnsi="Arial" w:cs="Arial"/>
        </w:rPr>
        <w:t xml:space="preserve">All Adelante chapters across sectors shall </w:t>
      </w:r>
      <w:r w:rsidR="0075076F">
        <w:rPr>
          <w:rFonts w:ascii="Arial" w:hAnsi="Arial" w:cs="Arial"/>
        </w:rPr>
        <w:t xml:space="preserve">adopt </w:t>
      </w:r>
      <w:r>
        <w:rPr>
          <w:rFonts w:ascii="Arial" w:hAnsi="Arial" w:cs="Arial"/>
        </w:rPr>
        <w:t>the following logo to indentify themselves across the corporation</w:t>
      </w:r>
      <w:r w:rsidR="0075076F">
        <w:rPr>
          <w:rFonts w:ascii="Arial" w:hAnsi="Arial" w:cs="Arial"/>
        </w:rPr>
        <w:t xml:space="preserve">.  </w:t>
      </w:r>
      <w:r w:rsidR="000F1ACD">
        <w:rPr>
          <w:rFonts w:ascii="Arial" w:hAnsi="Arial" w:cs="Arial"/>
        </w:rPr>
        <w:t xml:space="preserve">This logo shall be used in all communications material and </w:t>
      </w:r>
      <w:r w:rsidR="0069589E">
        <w:rPr>
          <w:rFonts w:ascii="Arial" w:hAnsi="Arial" w:cs="Arial"/>
        </w:rPr>
        <w:t xml:space="preserve">Adelante items used to promote the ERG.  </w:t>
      </w:r>
      <w:r w:rsidR="0075076F">
        <w:rPr>
          <w:rFonts w:ascii="Arial" w:hAnsi="Arial" w:cs="Arial"/>
        </w:rPr>
        <w:t>Specifications and guidelines for the One Adelante logo can be provided by the One Adelante executive board upon request.</w:t>
      </w:r>
    </w:p>
    <w:p w:rsidR="00C26DEF" w:rsidRDefault="00FB2016" w:rsidP="00C26DEF">
      <w:pPr>
        <w:spacing w:before="120" w:after="60"/>
        <w:jc w:val="center"/>
        <w:rPr>
          <w:rFonts w:ascii="Arial" w:hAnsi="Arial" w:cs="Arial"/>
        </w:rPr>
      </w:pPr>
      <w:r>
        <w:rPr>
          <w:rFonts w:ascii="Arial" w:hAnsi="Arial" w:cs="Arial"/>
          <w:noProof/>
        </w:rPr>
        <w:drawing>
          <wp:inline distT="0" distB="0" distL="0" distR="0">
            <wp:extent cx="2243200" cy="1371600"/>
            <wp:effectExtent l="19050" t="0" r="4700" b="0"/>
            <wp:docPr id="1" name="Picture 1"/>
            <wp:cNvGraphicFramePr/>
            <a:graphic xmlns:a="http://schemas.openxmlformats.org/drawingml/2006/main">
              <a:graphicData uri="http://schemas.openxmlformats.org/drawingml/2006/picture">
                <pic:pic xmlns:pic="http://schemas.openxmlformats.org/drawingml/2006/picture">
                  <pic:nvPicPr>
                    <pic:cNvPr id="1031" name="Picture 2"/>
                    <pic:cNvPicPr>
                      <a:picLocks noChangeAspect="1" noChangeArrowheads="1"/>
                    </pic:cNvPicPr>
                  </pic:nvPicPr>
                  <pic:blipFill>
                    <a:blip r:embed="rId13" cstate="print"/>
                    <a:srcRect l="2354" t="9850" r="3670" b="8125"/>
                    <a:stretch>
                      <a:fillRect/>
                    </a:stretch>
                  </pic:blipFill>
                  <pic:spPr bwMode="auto">
                    <a:xfrm>
                      <a:off x="0" y="0"/>
                      <a:ext cx="2239440" cy="1369301"/>
                    </a:xfrm>
                    <a:prstGeom prst="rect">
                      <a:avLst/>
                    </a:prstGeom>
                    <a:noFill/>
                    <a:ln w="9525">
                      <a:noFill/>
                      <a:miter lim="800000"/>
                      <a:headEnd/>
                      <a:tailEnd/>
                    </a:ln>
                  </pic:spPr>
                </pic:pic>
              </a:graphicData>
            </a:graphic>
          </wp:inline>
        </w:drawing>
      </w:r>
    </w:p>
    <w:p w:rsidR="00CA3653" w:rsidRPr="00B72670" w:rsidRDefault="00CA3653" w:rsidP="00CA3653">
      <w:pPr>
        <w:spacing w:before="120" w:after="60"/>
        <w:rPr>
          <w:rFonts w:ascii="Arial" w:hAnsi="Arial" w:cs="Arial"/>
          <w:b/>
        </w:rPr>
      </w:pPr>
      <w:r w:rsidRPr="00B72670">
        <w:rPr>
          <w:rFonts w:ascii="Arial" w:hAnsi="Arial" w:cs="Arial"/>
        </w:rPr>
        <w:t xml:space="preserve"> </w:t>
      </w:r>
    </w:p>
    <w:p w:rsidR="00CA3653" w:rsidRPr="00AB169F" w:rsidRDefault="00CA3653" w:rsidP="001F6922">
      <w:pPr>
        <w:pStyle w:val="Heading1"/>
        <w:numPr>
          <w:ilvl w:val="1"/>
          <w:numId w:val="27"/>
        </w:numPr>
        <w:rPr>
          <w:sz w:val="28"/>
          <w:szCs w:val="28"/>
        </w:rPr>
      </w:pPr>
      <w:bookmarkStart w:id="31" w:name="_Toc169512038"/>
      <w:bookmarkStart w:id="32" w:name="_Toc290505467"/>
      <w:r w:rsidRPr="00AB169F">
        <w:rPr>
          <w:sz w:val="28"/>
          <w:szCs w:val="28"/>
        </w:rPr>
        <w:t>Metrics</w:t>
      </w:r>
      <w:bookmarkEnd w:id="30"/>
      <w:bookmarkEnd w:id="31"/>
      <w:bookmarkEnd w:id="32"/>
    </w:p>
    <w:p w:rsidR="00CA3653" w:rsidRPr="00B72670" w:rsidRDefault="00CA3653" w:rsidP="00CA3653">
      <w:pPr>
        <w:spacing w:before="100" w:beforeAutospacing="1" w:after="100" w:afterAutospacing="1"/>
        <w:jc w:val="both"/>
        <w:rPr>
          <w:rFonts w:ascii="Arial" w:hAnsi="Arial" w:cs="Arial"/>
        </w:rPr>
      </w:pPr>
      <w:bookmarkStart w:id="33" w:name="_Toc168885526"/>
      <w:r w:rsidRPr="00B72670">
        <w:rPr>
          <w:rFonts w:ascii="Arial" w:hAnsi="Arial" w:cs="Arial"/>
        </w:rPr>
        <w:t xml:space="preserve">Metrics are important as they allow for the tracking of progress and reporting of various successes within the organization, and for supporting budget requests. The Enterprise Executive Board will discuss and decide what metrics will be captured at the </w:t>
      </w:r>
      <w:r>
        <w:rPr>
          <w:rFonts w:ascii="Arial" w:hAnsi="Arial" w:cs="Arial"/>
        </w:rPr>
        <w:t>e</w:t>
      </w:r>
      <w:r w:rsidRPr="00B72670">
        <w:rPr>
          <w:rFonts w:ascii="Arial" w:hAnsi="Arial" w:cs="Arial"/>
        </w:rPr>
        <w:t xml:space="preserve">nterprise, </w:t>
      </w:r>
      <w:r>
        <w:rPr>
          <w:rFonts w:ascii="Arial" w:hAnsi="Arial" w:cs="Arial"/>
        </w:rPr>
        <w:t>s</w:t>
      </w:r>
      <w:r w:rsidRPr="00B72670">
        <w:rPr>
          <w:rFonts w:ascii="Arial" w:hAnsi="Arial" w:cs="Arial"/>
        </w:rPr>
        <w:t>ector</w:t>
      </w:r>
      <w:r>
        <w:rPr>
          <w:rFonts w:ascii="Arial" w:hAnsi="Arial" w:cs="Arial"/>
        </w:rPr>
        <w:t xml:space="preserve">, </w:t>
      </w:r>
      <w:r w:rsidR="00B37B62">
        <w:rPr>
          <w:rFonts w:ascii="Arial" w:hAnsi="Arial" w:cs="Arial"/>
        </w:rPr>
        <w:t xml:space="preserve">and </w:t>
      </w:r>
      <w:r>
        <w:rPr>
          <w:rFonts w:ascii="Arial" w:hAnsi="Arial" w:cs="Arial"/>
        </w:rPr>
        <w:t>campus/r</w:t>
      </w:r>
      <w:r w:rsidRPr="00B72670">
        <w:rPr>
          <w:rFonts w:ascii="Arial" w:hAnsi="Arial" w:cs="Arial"/>
        </w:rPr>
        <w:t>egional</w:t>
      </w:r>
      <w:r>
        <w:rPr>
          <w:rFonts w:ascii="Arial" w:hAnsi="Arial" w:cs="Arial"/>
        </w:rPr>
        <w:t xml:space="preserve"> </w:t>
      </w:r>
      <w:r w:rsidRPr="00B72670">
        <w:rPr>
          <w:rFonts w:ascii="Arial" w:hAnsi="Arial" w:cs="Arial"/>
        </w:rPr>
        <w:t>levels</w:t>
      </w:r>
      <w:r>
        <w:rPr>
          <w:rFonts w:ascii="Arial" w:hAnsi="Arial" w:cs="Arial"/>
        </w:rPr>
        <w:t>.</w:t>
      </w:r>
    </w:p>
    <w:p w:rsidR="00CA3653" w:rsidRPr="00AB169F" w:rsidRDefault="00CA3653" w:rsidP="001F6922">
      <w:pPr>
        <w:pStyle w:val="Heading1"/>
        <w:numPr>
          <w:ilvl w:val="1"/>
          <w:numId w:val="27"/>
        </w:numPr>
        <w:rPr>
          <w:sz w:val="28"/>
          <w:szCs w:val="28"/>
        </w:rPr>
      </w:pPr>
      <w:bookmarkStart w:id="34" w:name="_Toc169512039"/>
      <w:bookmarkStart w:id="35" w:name="_Toc290505468"/>
      <w:r w:rsidRPr="00AB169F">
        <w:rPr>
          <w:sz w:val="28"/>
          <w:szCs w:val="28"/>
        </w:rPr>
        <w:lastRenderedPageBreak/>
        <w:t>Communicatio</w:t>
      </w:r>
      <w:bookmarkEnd w:id="33"/>
      <w:r w:rsidRPr="00AB169F">
        <w:rPr>
          <w:sz w:val="28"/>
          <w:szCs w:val="28"/>
        </w:rPr>
        <w:t>n</w:t>
      </w:r>
      <w:bookmarkEnd w:id="34"/>
      <w:bookmarkEnd w:id="35"/>
    </w:p>
    <w:p w:rsidR="00CA3653" w:rsidRPr="00B72670" w:rsidRDefault="00CA3653" w:rsidP="00CA3653">
      <w:pPr>
        <w:rPr>
          <w:rFonts w:ascii="Arial" w:hAnsi="Arial" w:cs="Arial"/>
        </w:rPr>
      </w:pPr>
    </w:p>
    <w:p w:rsidR="00CA3653" w:rsidRPr="00B72670" w:rsidRDefault="00CA3653" w:rsidP="00CA3653">
      <w:pPr>
        <w:rPr>
          <w:rFonts w:ascii="Arial" w:hAnsi="Arial" w:cs="Arial"/>
        </w:rPr>
      </w:pPr>
      <w:bookmarkStart w:id="36" w:name="_Toc168885516"/>
      <w:bookmarkStart w:id="37" w:name="_Toc162323884"/>
      <w:r w:rsidRPr="00B72670">
        <w:rPr>
          <w:rFonts w:ascii="Arial" w:hAnsi="Arial" w:cs="Arial"/>
        </w:rPr>
        <w:t xml:space="preserve">Effective communications are essential to the success of the organization. </w:t>
      </w:r>
      <w:r w:rsidR="0069589E">
        <w:rPr>
          <w:rFonts w:ascii="Arial" w:hAnsi="Arial" w:cs="Arial"/>
        </w:rPr>
        <w:t xml:space="preserve">A One </w:t>
      </w:r>
      <w:r w:rsidR="00E060C5">
        <w:rPr>
          <w:rFonts w:ascii="Arial" w:hAnsi="Arial" w:cs="Arial"/>
        </w:rPr>
        <w:t>Adelante communications</w:t>
      </w:r>
      <w:r w:rsidRPr="00B72670">
        <w:rPr>
          <w:rFonts w:ascii="Arial" w:hAnsi="Arial" w:cs="Arial"/>
        </w:rPr>
        <w:t xml:space="preserve"> plan</w:t>
      </w:r>
      <w:r w:rsidR="0069589E">
        <w:rPr>
          <w:rFonts w:ascii="Arial" w:hAnsi="Arial" w:cs="Arial"/>
        </w:rPr>
        <w:t xml:space="preserve"> will be </w:t>
      </w:r>
      <w:r w:rsidR="00E060C5">
        <w:rPr>
          <w:rFonts w:ascii="Arial" w:hAnsi="Arial" w:cs="Arial"/>
        </w:rPr>
        <w:t>developed</w:t>
      </w:r>
      <w:r w:rsidR="0069589E">
        <w:rPr>
          <w:rFonts w:ascii="Arial" w:hAnsi="Arial" w:cs="Arial"/>
        </w:rPr>
        <w:t xml:space="preserve"> to find address members providing a website with One Adelante </w:t>
      </w:r>
      <w:r w:rsidR="00E060C5">
        <w:rPr>
          <w:rFonts w:ascii="Arial" w:hAnsi="Arial" w:cs="Arial"/>
        </w:rPr>
        <w:t>related</w:t>
      </w:r>
      <w:r w:rsidR="0069589E">
        <w:rPr>
          <w:rFonts w:ascii="Arial" w:hAnsi="Arial" w:cs="Arial"/>
        </w:rPr>
        <w:t xml:space="preserve"> events and sector updates as well as a calendar of events planned for the year.  A newsletter will be distributed twice a year to inform the Adelante membership about news of corporate impact.  </w:t>
      </w:r>
      <w:r w:rsidRPr="00B72670">
        <w:rPr>
          <w:rFonts w:ascii="Arial" w:hAnsi="Arial" w:cs="Arial"/>
        </w:rPr>
        <w:t>In developing a communication</w:t>
      </w:r>
      <w:r w:rsidR="0069589E">
        <w:rPr>
          <w:rFonts w:ascii="Arial" w:hAnsi="Arial" w:cs="Arial"/>
        </w:rPr>
        <w:t>s</w:t>
      </w:r>
      <w:r w:rsidRPr="00B72670">
        <w:rPr>
          <w:rFonts w:ascii="Arial" w:hAnsi="Arial" w:cs="Arial"/>
        </w:rPr>
        <w:t xml:space="preserve"> plan, </w:t>
      </w:r>
      <w:r w:rsidR="0069589E">
        <w:rPr>
          <w:rFonts w:ascii="Arial" w:hAnsi="Arial" w:cs="Arial"/>
        </w:rPr>
        <w:t xml:space="preserve">One Adelante </w:t>
      </w:r>
      <w:r w:rsidRPr="00B72670">
        <w:rPr>
          <w:rFonts w:ascii="Arial" w:hAnsi="Arial" w:cs="Arial"/>
        </w:rPr>
        <w:t>must communicate with the</w:t>
      </w:r>
      <w:r>
        <w:rPr>
          <w:rFonts w:ascii="Arial" w:hAnsi="Arial" w:cs="Arial"/>
        </w:rPr>
        <w:t>ir</w:t>
      </w:r>
      <w:r w:rsidRPr="00B72670">
        <w:rPr>
          <w:rFonts w:ascii="Arial" w:hAnsi="Arial" w:cs="Arial"/>
        </w:rPr>
        <w:t xml:space="preserve"> Executive Sponsor and/or D&amp;I </w:t>
      </w:r>
      <w:r w:rsidR="0069589E">
        <w:rPr>
          <w:rFonts w:ascii="Arial" w:hAnsi="Arial" w:cs="Arial"/>
        </w:rPr>
        <w:t xml:space="preserve">Corporate </w:t>
      </w:r>
      <w:r>
        <w:rPr>
          <w:rFonts w:ascii="Arial" w:hAnsi="Arial" w:cs="Arial"/>
        </w:rPr>
        <w:t xml:space="preserve">Representative </w:t>
      </w:r>
      <w:r w:rsidRPr="00B72670">
        <w:rPr>
          <w:rFonts w:ascii="Arial" w:hAnsi="Arial" w:cs="Arial"/>
        </w:rPr>
        <w:t>to determine the policies and procedures concerning the sending and posting of communications.</w:t>
      </w:r>
    </w:p>
    <w:p w:rsidR="00CA3653" w:rsidRPr="00B72670" w:rsidRDefault="00CA3653" w:rsidP="00CA3653">
      <w:pPr>
        <w:rPr>
          <w:rFonts w:ascii="Arial" w:hAnsi="Arial" w:cs="Arial"/>
        </w:rPr>
      </w:pPr>
    </w:p>
    <w:p w:rsidR="00CA3653" w:rsidRPr="00B72670" w:rsidRDefault="00CA3653" w:rsidP="00CA3653">
      <w:pPr>
        <w:rPr>
          <w:rFonts w:ascii="Arial" w:hAnsi="Arial" w:cs="Arial"/>
        </w:rPr>
      </w:pPr>
    </w:p>
    <w:p w:rsidR="00CA3653" w:rsidRPr="00B72670" w:rsidRDefault="00CA3653" w:rsidP="00CA3653">
      <w:pPr>
        <w:rPr>
          <w:rFonts w:ascii="Arial" w:hAnsi="Arial" w:cs="Arial"/>
        </w:rPr>
      </w:pPr>
    </w:p>
    <w:p w:rsidR="00C26DEF" w:rsidRPr="00B92645" w:rsidRDefault="001E28E9" w:rsidP="00C26DEF">
      <w:pPr>
        <w:rPr>
          <w:rFonts w:ascii="Arial" w:hAnsi="Arial" w:cs="Arial"/>
        </w:rPr>
      </w:pPr>
      <w:r w:rsidRPr="001E28E9">
        <w:rPr>
          <w:rFonts w:ascii="Arial" w:hAnsi="Arial" w:cs="Arial"/>
        </w:rPr>
        <w:t xml:space="preserve">All ERG communications must be in accordance with corporate and sector communications as delineated in Corporate Procedure for Employee Resource Group, CO No H114 </w:t>
      </w:r>
    </w:p>
    <w:p w:rsidR="00930DF4" w:rsidRPr="00B72670" w:rsidRDefault="00930DF4" w:rsidP="00CA3653">
      <w:pPr>
        <w:rPr>
          <w:rFonts w:ascii="Arial" w:hAnsi="Arial" w:cs="Arial"/>
        </w:rPr>
      </w:pPr>
    </w:p>
    <w:p w:rsidR="00CA3653" w:rsidRPr="00B72670" w:rsidRDefault="00CA3653" w:rsidP="00AB169F">
      <w:pPr>
        <w:rPr>
          <w:rFonts w:ascii="Arial" w:hAnsi="Arial" w:cs="Arial"/>
        </w:rPr>
      </w:pPr>
    </w:p>
    <w:p w:rsidR="00CA3653" w:rsidRPr="00AB169F" w:rsidRDefault="00CA3653" w:rsidP="001F6922">
      <w:pPr>
        <w:pStyle w:val="Heading1"/>
        <w:numPr>
          <w:ilvl w:val="0"/>
          <w:numId w:val="27"/>
        </w:numPr>
        <w:rPr>
          <w:sz w:val="28"/>
          <w:szCs w:val="28"/>
        </w:rPr>
      </w:pPr>
      <w:bookmarkStart w:id="38" w:name="_Toc169512040"/>
      <w:bookmarkStart w:id="39" w:name="_Toc290505469"/>
      <w:r w:rsidRPr="00AB169F">
        <w:rPr>
          <w:sz w:val="28"/>
          <w:szCs w:val="28"/>
        </w:rPr>
        <w:t>Administrative</w:t>
      </w:r>
      <w:bookmarkEnd w:id="36"/>
      <w:bookmarkEnd w:id="38"/>
      <w:r w:rsidRPr="00AB169F">
        <w:rPr>
          <w:sz w:val="28"/>
          <w:szCs w:val="28"/>
        </w:rPr>
        <w:t xml:space="preserve"> Resources</w:t>
      </w:r>
      <w:bookmarkEnd w:id="39"/>
      <w:r w:rsidRPr="00AB169F">
        <w:rPr>
          <w:sz w:val="28"/>
          <w:szCs w:val="28"/>
        </w:rPr>
        <w:t xml:space="preserve">  </w:t>
      </w:r>
    </w:p>
    <w:p w:rsidR="00CA3653" w:rsidRPr="00AB169F" w:rsidRDefault="00CA3653" w:rsidP="001F6922">
      <w:pPr>
        <w:pStyle w:val="Heading1"/>
        <w:numPr>
          <w:ilvl w:val="1"/>
          <w:numId w:val="27"/>
        </w:numPr>
        <w:rPr>
          <w:sz w:val="28"/>
          <w:szCs w:val="28"/>
        </w:rPr>
      </w:pPr>
      <w:bookmarkStart w:id="40" w:name="_Toc168885517"/>
      <w:bookmarkStart w:id="41" w:name="_Toc290505470"/>
      <w:r w:rsidRPr="00AB169F">
        <w:rPr>
          <w:sz w:val="28"/>
          <w:szCs w:val="28"/>
        </w:rPr>
        <w:t>Document</w:t>
      </w:r>
      <w:bookmarkEnd w:id="37"/>
      <w:r w:rsidRPr="00AB169F">
        <w:rPr>
          <w:sz w:val="28"/>
          <w:szCs w:val="28"/>
        </w:rPr>
        <w:t>ation</w:t>
      </w:r>
      <w:bookmarkEnd w:id="40"/>
      <w:bookmarkEnd w:id="41"/>
    </w:p>
    <w:p w:rsidR="00CA3653" w:rsidRPr="00B72670" w:rsidRDefault="00CA3653" w:rsidP="00CA3653">
      <w:pPr>
        <w:pStyle w:val="Heading3"/>
        <w:rPr>
          <w:b w:val="0"/>
          <w:sz w:val="24"/>
          <w:szCs w:val="24"/>
        </w:rPr>
      </w:pPr>
      <w:bookmarkStart w:id="42" w:name="_Toc168885518"/>
      <w:r w:rsidRPr="00B72670">
        <w:rPr>
          <w:b w:val="0"/>
          <w:sz w:val="24"/>
          <w:szCs w:val="24"/>
        </w:rPr>
        <w:t>Establishing a central file where electronic copies of records of events, meeting minutes, photos and important documents are retained is recommended. (ITRs, reimbursements, budget, etc.)</w:t>
      </w:r>
      <w:bookmarkEnd w:id="42"/>
      <w:r w:rsidRPr="00B72670">
        <w:rPr>
          <w:b w:val="0"/>
          <w:sz w:val="24"/>
          <w:szCs w:val="24"/>
        </w:rPr>
        <w:t xml:space="preserve">  </w:t>
      </w:r>
    </w:p>
    <w:p w:rsidR="00CA3653" w:rsidRPr="00B72670" w:rsidRDefault="00CA3653" w:rsidP="00CA3653">
      <w:pPr>
        <w:rPr>
          <w:rFonts w:ascii="Arial" w:hAnsi="Arial" w:cs="Arial"/>
        </w:rPr>
      </w:pPr>
    </w:p>
    <w:p w:rsidR="00CA3653" w:rsidRPr="00B72670" w:rsidRDefault="00CA3653" w:rsidP="00CA3653">
      <w:pPr>
        <w:rPr>
          <w:rFonts w:ascii="Arial" w:hAnsi="Arial" w:cs="Arial"/>
        </w:rPr>
      </w:pPr>
      <w:r w:rsidRPr="00B72670">
        <w:rPr>
          <w:rFonts w:ascii="Arial" w:hAnsi="Arial" w:cs="Arial"/>
        </w:rPr>
        <w:t xml:space="preserve">Complying with </w:t>
      </w:r>
      <w:r>
        <w:rPr>
          <w:rFonts w:ascii="Arial" w:hAnsi="Arial" w:cs="Arial"/>
        </w:rPr>
        <w:t>C</w:t>
      </w:r>
      <w:r w:rsidRPr="00B72670">
        <w:rPr>
          <w:rFonts w:ascii="Arial" w:hAnsi="Arial" w:cs="Arial"/>
        </w:rPr>
        <w:t xml:space="preserve">orporate Records Mgt. policy A302 and sector policies on record retention is required. Sector policies can be found via the NG Internal Website under Command Media. Utilize the Enterprise Executive Board and local D&amp;I </w:t>
      </w:r>
      <w:r>
        <w:rPr>
          <w:rFonts w:ascii="Arial" w:hAnsi="Arial" w:cs="Arial"/>
        </w:rPr>
        <w:t>Representative</w:t>
      </w:r>
      <w:r w:rsidRPr="00B72670">
        <w:rPr>
          <w:rFonts w:ascii="Arial" w:hAnsi="Arial" w:cs="Arial"/>
        </w:rPr>
        <w:t xml:space="preserve"> to help answer questions in this area.  </w:t>
      </w:r>
    </w:p>
    <w:p w:rsidR="00CA3653" w:rsidRPr="00B72670" w:rsidRDefault="00CA3653" w:rsidP="00CA3653">
      <w:pPr>
        <w:rPr>
          <w:rFonts w:ascii="Arial" w:hAnsi="Arial" w:cs="Arial"/>
        </w:rPr>
      </w:pPr>
    </w:p>
    <w:p w:rsidR="00CA3653" w:rsidRPr="00AB169F" w:rsidRDefault="00CA3653" w:rsidP="001F6922">
      <w:pPr>
        <w:pStyle w:val="Heading1"/>
        <w:numPr>
          <w:ilvl w:val="1"/>
          <w:numId w:val="27"/>
        </w:numPr>
        <w:rPr>
          <w:sz w:val="28"/>
          <w:szCs w:val="28"/>
        </w:rPr>
      </w:pPr>
      <w:bookmarkStart w:id="43" w:name="_Toc290505471"/>
      <w:r w:rsidRPr="00AB169F">
        <w:rPr>
          <w:sz w:val="28"/>
          <w:szCs w:val="28"/>
        </w:rPr>
        <w:t>Roster</w:t>
      </w:r>
      <w:bookmarkEnd w:id="43"/>
    </w:p>
    <w:p w:rsidR="00E060C5" w:rsidRDefault="00CA3653" w:rsidP="00F137FB">
      <w:pPr>
        <w:rPr>
          <w:rFonts w:ascii="Arial" w:hAnsi="Arial" w:cs="Arial"/>
        </w:rPr>
      </w:pPr>
      <w:r w:rsidRPr="00B72670">
        <w:rPr>
          <w:rFonts w:ascii="Arial" w:hAnsi="Arial" w:cs="Arial"/>
        </w:rPr>
        <w:t>A roster of all members needs to be created and maintained in a database (i.e., Access, Excel, and Word). The roster will provide needed data for reporting metrics.  The membership should be updated and verified on an annual basis.  This can be accomplished by a yearly email to all members asking to verify their membership</w:t>
      </w:r>
      <w:r w:rsidRPr="00B72670">
        <w:rPr>
          <w:rFonts w:ascii="Arial" w:hAnsi="Arial" w:cs="Arial"/>
          <w:color w:val="FF0000"/>
        </w:rPr>
        <w:t>.</w:t>
      </w:r>
      <w:r w:rsidRPr="00B72670">
        <w:rPr>
          <w:rFonts w:ascii="Arial" w:hAnsi="Arial" w:cs="Arial"/>
        </w:rPr>
        <w:t xml:space="preserve">  If members no longer wish to continue participating in the program, they should be “retired” from the membership list and their names kept for historical purposes</w:t>
      </w:r>
      <w:bookmarkStart w:id="44" w:name="_Toc168885520"/>
      <w:bookmarkStart w:id="45" w:name="_Toc290505472"/>
    </w:p>
    <w:p w:rsidR="00CA3653" w:rsidRPr="00AB169F" w:rsidRDefault="00CA3653" w:rsidP="00E060C5">
      <w:pPr>
        <w:pStyle w:val="Heading1"/>
        <w:numPr>
          <w:ilvl w:val="1"/>
          <w:numId w:val="27"/>
        </w:numPr>
        <w:rPr>
          <w:sz w:val="28"/>
          <w:szCs w:val="28"/>
        </w:rPr>
      </w:pPr>
      <w:r w:rsidRPr="00AB169F">
        <w:rPr>
          <w:sz w:val="28"/>
          <w:szCs w:val="28"/>
        </w:rPr>
        <w:t>Compliance</w:t>
      </w:r>
      <w:bookmarkEnd w:id="44"/>
      <w:bookmarkEnd w:id="45"/>
    </w:p>
    <w:p w:rsidR="00CA3653" w:rsidRPr="00B72670" w:rsidRDefault="00CA3653" w:rsidP="00CA3653">
      <w:pPr>
        <w:rPr>
          <w:rFonts w:ascii="Arial" w:hAnsi="Arial" w:cs="Arial"/>
        </w:rPr>
      </w:pPr>
      <w:r w:rsidRPr="00B72670">
        <w:rPr>
          <w:rFonts w:ascii="Arial" w:hAnsi="Arial" w:cs="Arial"/>
        </w:rPr>
        <w:t xml:space="preserve">Compliance with </w:t>
      </w:r>
      <w:r w:rsidR="00174B3C">
        <w:rPr>
          <w:rFonts w:ascii="Arial" w:hAnsi="Arial" w:cs="Arial"/>
        </w:rPr>
        <w:t>corporate</w:t>
      </w:r>
      <w:r w:rsidR="00174B3C" w:rsidRPr="00B72670">
        <w:rPr>
          <w:rFonts w:ascii="Arial" w:hAnsi="Arial" w:cs="Arial"/>
        </w:rPr>
        <w:t xml:space="preserve"> </w:t>
      </w:r>
      <w:r w:rsidRPr="00B72670">
        <w:rPr>
          <w:rFonts w:ascii="Arial" w:hAnsi="Arial" w:cs="Arial"/>
        </w:rPr>
        <w:t xml:space="preserve">and local policies is a requirement of the </w:t>
      </w:r>
      <w:r>
        <w:rPr>
          <w:rFonts w:ascii="Arial" w:hAnsi="Arial" w:cs="Arial"/>
        </w:rPr>
        <w:t>Adelante</w:t>
      </w:r>
      <w:r w:rsidRPr="00B72670">
        <w:rPr>
          <w:rFonts w:ascii="Arial" w:hAnsi="Arial" w:cs="Arial"/>
        </w:rPr>
        <w:t xml:space="preserve"> Chapters.  Utilize the Enterprise Executive Board and local D&amp;I </w:t>
      </w:r>
      <w:r>
        <w:rPr>
          <w:rFonts w:ascii="Arial" w:hAnsi="Arial" w:cs="Arial"/>
        </w:rPr>
        <w:t xml:space="preserve">Representative </w:t>
      </w:r>
      <w:r w:rsidRPr="00B72670">
        <w:rPr>
          <w:rFonts w:ascii="Arial" w:hAnsi="Arial" w:cs="Arial"/>
        </w:rPr>
        <w:t xml:space="preserve">to help answer </w:t>
      </w:r>
      <w:r w:rsidRPr="00B72670">
        <w:rPr>
          <w:rFonts w:ascii="Arial" w:hAnsi="Arial" w:cs="Arial"/>
        </w:rPr>
        <w:lastRenderedPageBreak/>
        <w:t>questions in this area.</w:t>
      </w:r>
      <w:r w:rsidR="00174B3C">
        <w:rPr>
          <w:rFonts w:ascii="Arial" w:hAnsi="Arial" w:cs="Arial"/>
        </w:rPr>
        <w:t xml:space="preserve">  All Adelante chapters across the Northrop Grumman sectors should adhere to the Corporate Employee Resource Group </w:t>
      </w:r>
      <w:r w:rsidR="006F2455">
        <w:rPr>
          <w:rFonts w:ascii="Arial" w:hAnsi="Arial" w:cs="Arial"/>
        </w:rPr>
        <w:t xml:space="preserve">procedure </w:t>
      </w:r>
      <w:r w:rsidR="00174B3C">
        <w:rPr>
          <w:rFonts w:ascii="Arial" w:hAnsi="Arial" w:cs="Arial"/>
        </w:rPr>
        <w:t>Co No H114</w:t>
      </w:r>
      <w:r w:rsidRPr="00B72670">
        <w:rPr>
          <w:rFonts w:ascii="Arial" w:hAnsi="Arial" w:cs="Arial"/>
        </w:rPr>
        <w:t xml:space="preserve">     </w:t>
      </w:r>
    </w:p>
    <w:p w:rsidR="00CA3653" w:rsidRPr="00AB169F" w:rsidRDefault="00CA3653" w:rsidP="001F6922">
      <w:pPr>
        <w:pStyle w:val="Heading1"/>
        <w:numPr>
          <w:ilvl w:val="1"/>
          <w:numId w:val="27"/>
        </w:numPr>
        <w:rPr>
          <w:sz w:val="28"/>
          <w:szCs w:val="28"/>
        </w:rPr>
      </w:pPr>
      <w:bookmarkStart w:id="46" w:name="_Toc168885521"/>
      <w:bookmarkStart w:id="47" w:name="_Toc290505473"/>
      <w:r w:rsidRPr="00AB169F">
        <w:rPr>
          <w:sz w:val="28"/>
          <w:szCs w:val="28"/>
        </w:rPr>
        <w:t>Releases and Security Considerations</w:t>
      </w:r>
      <w:bookmarkEnd w:id="46"/>
      <w:bookmarkEnd w:id="47"/>
    </w:p>
    <w:p w:rsidR="00CA3653" w:rsidRPr="00B72670" w:rsidRDefault="00CA3653" w:rsidP="00CA3653">
      <w:pPr>
        <w:rPr>
          <w:rFonts w:ascii="Arial" w:hAnsi="Arial" w:cs="Arial"/>
        </w:rPr>
      </w:pPr>
      <w:r w:rsidRPr="00B72670">
        <w:rPr>
          <w:rFonts w:ascii="Arial" w:hAnsi="Arial" w:cs="Arial"/>
        </w:rPr>
        <w:t xml:space="preserve">When conducting tours or offsite events, consult with the local D&amp;I </w:t>
      </w:r>
      <w:r>
        <w:rPr>
          <w:rFonts w:ascii="Arial" w:hAnsi="Arial" w:cs="Arial"/>
        </w:rPr>
        <w:t>Representative</w:t>
      </w:r>
      <w:r w:rsidRPr="00B72670">
        <w:rPr>
          <w:rFonts w:ascii="Arial" w:hAnsi="Arial" w:cs="Arial"/>
        </w:rPr>
        <w:t xml:space="preserve">, or legal counsel to make sure requirements for liability releases and security considerations have been addressed.  </w:t>
      </w:r>
      <w:r>
        <w:rPr>
          <w:rFonts w:ascii="Arial" w:hAnsi="Arial" w:cs="Arial"/>
        </w:rPr>
        <w:t xml:space="preserve">Sector, campus/regional chapters </w:t>
      </w:r>
      <w:r w:rsidRPr="00B72670">
        <w:rPr>
          <w:rFonts w:ascii="Arial" w:hAnsi="Arial" w:cs="Arial"/>
        </w:rPr>
        <w:t xml:space="preserve">should work with the local D&amp;I </w:t>
      </w:r>
      <w:r>
        <w:rPr>
          <w:rFonts w:ascii="Arial" w:hAnsi="Arial" w:cs="Arial"/>
        </w:rPr>
        <w:t>Representative</w:t>
      </w:r>
      <w:r w:rsidRPr="00B72670">
        <w:rPr>
          <w:rFonts w:ascii="Arial" w:hAnsi="Arial" w:cs="Arial"/>
        </w:rPr>
        <w:t xml:space="preserve"> to determine the local process for obtaining releases in connection with certain events, and to obtain the appropriate release form through the Legal Department.</w:t>
      </w:r>
      <w:r w:rsidR="00B25F6F">
        <w:rPr>
          <w:rFonts w:ascii="Arial" w:hAnsi="Arial" w:cs="Arial"/>
        </w:rPr>
        <w:t xml:space="preserve">  Request to take photos should be coordinated through the local communications and/or security organizations.  </w:t>
      </w:r>
    </w:p>
    <w:p w:rsidR="00BD245C" w:rsidRPr="00145660" w:rsidRDefault="00CA3653" w:rsidP="00BD245C">
      <w:pPr>
        <w:pStyle w:val="Heading1"/>
        <w:numPr>
          <w:ilvl w:val="1"/>
          <w:numId w:val="27"/>
        </w:numPr>
        <w:jc w:val="both"/>
        <w:rPr>
          <w:sz w:val="28"/>
          <w:szCs w:val="28"/>
        </w:rPr>
      </w:pPr>
      <w:bookmarkStart w:id="48" w:name="_Toc168885522"/>
      <w:bookmarkStart w:id="49" w:name="_Toc290505474"/>
      <w:r w:rsidRPr="00145660">
        <w:rPr>
          <w:sz w:val="28"/>
          <w:szCs w:val="28"/>
        </w:rPr>
        <w:t>Alcohol Policy</w:t>
      </w:r>
      <w:bookmarkEnd w:id="48"/>
      <w:bookmarkEnd w:id="49"/>
    </w:p>
    <w:p w:rsidR="002D2DDB" w:rsidRDefault="001E28E9">
      <w:pPr>
        <w:rPr>
          <w:b/>
        </w:rPr>
      </w:pPr>
      <w:r w:rsidRPr="001E28E9">
        <w:rPr>
          <w:rFonts w:ascii="Arial" w:hAnsi="Arial" w:cs="Arial"/>
        </w:rPr>
        <w:t xml:space="preserve">Corporate Procedure H801- Alcohol on Northrop Grumman Premises, is available via the NG Internal Website under command Media, and outlines the conditions for serving alcohol at offsite Northrop Grumman-sponsored events. (Alcohol may not be consumed or served on Northrop Grumman premises at any time.)  Your D&amp;I Representative can assist you with questions regarding this policy. </w:t>
      </w:r>
    </w:p>
    <w:p w:rsidR="00B25F6F" w:rsidRDefault="00B25F6F" w:rsidP="001F6922">
      <w:pPr>
        <w:pStyle w:val="Heading1"/>
        <w:numPr>
          <w:ilvl w:val="1"/>
          <w:numId w:val="27"/>
        </w:numPr>
        <w:rPr>
          <w:sz w:val="28"/>
          <w:szCs w:val="28"/>
        </w:rPr>
      </w:pPr>
      <w:bookmarkStart w:id="50" w:name="_Toc290505475"/>
      <w:bookmarkStart w:id="51" w:name="_Toc162323885"/>
      <w:bookmarkStart w:id="52" w:name="_Toc168885524"/>
      <w:r>
        <w:rPr>
          <w:sz w:val="28"/>
          <w:szCs w:val="28"/>
        </w:rPr>
        <w:t>Communications Photo Releases</w:t>
      </w:r>
      <w:bookmarkEnd w:id="50"/>
    </w:p>
    <w:p w:rsidR="002D2DDB" w:rsidRPr="00E060C5" w:rsidRDefault="00B25F6F">
      <w:pPr>
        <w:rPr>
          <w:rFonts w:ascii="Arial" w:hAnsi="Arial" w:cs="Arial"/>
        </w:rPr>
      </w:pPr>
      <w:r w:rsidRPr="00E060C5">
        <w:rPr>
          <w:rFonts w:ascii="Arial" w:hAnsi="Arial" w:cs="Arial"/>
        </w:rPr>
        <w:t>All photos</w:t>
      </w:r>
      <w:r w:rsidR="007B090E" w:rsidRPr="00E060C5">
        <w:rPr>
          <w:rFonts w:ascii="Arial" w:hAnsi="Arial" w:cs="Arial"/>
        </w:rPr>
        <w:t xml:space="preserve">/videos used for release in communications </w:t>
      </w:r>
      <w:r w:rsidR="007C6F27">
        <w:rPr>
          <w:rFonts w:ascii="Arial" w:hAnsi="Arial" w:cs="Arial"/>
        </w:rPr>
        <w:t>inside</w:t>
      </w:r>
      <w:r w:rsidR="007B090E" w:rsidRPr="00E060C5">
        <w:rPr>
          <w:rFonts w:ascii="Arial" w:hAnsi="Arial" w:cs="Arial"/>
        </w:rPr>
        <w:t xml:space="preserve"> and outside Northrop Grumman should be accompanied by a photo/video release signed by the individual (s) inv</w:t>
      </w:r>
      <w:r w:rsidR="007C6F27">
        <w:rPr>
          <w:rFonts w:ascii="Arial" w:hAnsi="Arial" w:cs="Arial"/>
        </w:rPr>
        <w:t>olved in the photo/video.</w:t>
      </w:r>
    </w:p>
    <w:p w:rsidR="00CA3653" w:rsidRPr="00145660" w:rsidRDefault="00CA3653" w:rsidP="001F6922">
      <w:pPr>
        <w:pStyle w:val="Heading1"/>
        <w:numPr>
          <w:ilvl w:val="1"/>
          <w:numId w:val="27"/>
        </w:numPr>
        <w:rPr>
          <w:sz w:val="28"/>
          <w:szCs w:val="28"/>
        </w:rPr>
      </w:pPr>
      <w:bookmarkStart w:id="53" w:name="_Toc290505476"/>
      <w:r w:rsidRPr="00145660">
        <w:rPr>
          <w:sz w:val="28"/>
          <w:szCs w:val="28"/>
        </w:rPr>
        <w:t>Budget</w:t>
      </w:r>
      <w:bookmarkEnd w:id="51"/>
      <w:bookmarkEnd w:id="52"/>
      <w:bookmarkEnd w:id="53"/>
    </w:p>
    <w:p w:rsidR="00CA3653" w:rsidRDefault="00CA3653" w:rsidP="00CA3653">
      <w:pPr>
        <w:rPr>
          <w:rFonts w:ascii="Arial" w:hAnsi="Arial" w:cs="Arial"/>
        </w:rPr>
      </w:pPr>
      <w:r w:rsidRPr="00B72670">
        <w:rPr>
          <w:rFonts w:ascii="Arial" w:hAnsi="Arial" w:cs="Arial"/>
        </w:rPr>
        <w:t>The budgeting process consists of t</w:t>
      </w:r>
      <w:r w:rsidR="00F20766">
        <w:rPr>
          <w:rFonts w:ascii="Arial" w:hAnsi="Arial" w:cs="Arial"/>
        </w:rPr>
        <w:t>hree</w:t>
      </w:r>
      <w:r w:rsidRPr="00B72670">
        <w:rPr>
          <w:rFonts w:ascii="Arial" w:hAnsi="Arial" w:cs="Arial"/>
        </w:rPr>
        <w:t xml:space="preserve"> comp</w:t>
      </w:r>
      <w:r>
        <w:rPr>
          <w:rFonts w:ascii="Arial" w:hAnsi="Arial" w:cs="Arial"/>
        </w:rPr>
        <w:t>one</w:t>
      </w:r>
      <w:r w:rsidRPr="00B72670">
        <w:rPr>
          <w:rFonts w:ascii="Arial" w:hAnsi="Arial" w:cs="Arial"/>
        </w:rPr>
        <w:t xml:space="preserve">nts; </w:t>
      </w:r>
      <w:r w:rsidR="00F20766">
        <w:rPr>
          <w:rFonts w:ascii="Arial" w:hAnsi="Arial" w:cs="Arial"/>
        </w:rPr>
        <w:t xml:space="preserve">One Adelante, </w:t>
      </w:r>
      <w:r w:rsidRPr="00B72670">
        <w:rPr>
          <w:rFonts w:ascii="Arial" w:hAnsi="Arial" w:cs="Arial"/>
        </w:rPr>
        <w:t xml:space="preserve">the </w:t>
      </w:r>
      <w:r>
        <w:rPr>
          <w:rFonts w:ascii="Arial" w:hAnsi="Arial" w:cs="Arial"/>
        </w:rPr>
        <w:t xml:space="preserve">sector, </w:t>
      </w:r>
      <w:r w:rsidR="00F20766">
        <w:rPr>
          <w:rFonts w:ascii="Arial" w:hAnsi="Arial" w:cs="Arial"/>
        </w:rPr>
        <w:t xml:space="preserve">and the </w:t>
      </w:r>
      <w:r>
        <w:rPr>
          <w:rFonts w:ascii="Arial" w:hAnsi="Arial" w:cs="Arial"/>
        </w:rPr>
        <w:t>campus/regional</w:t>
      </w:r>
      <w:r w:rsidR="00F20766">
        <w:rPr>
          <w:rFonts w:ascii="Arial" w:hAnsi="Arial" w:cs="Arial"/>
        </w:rPr>
        <w:t xml:space="preserve"> </w:t>
      </w:r>
      <w:r w:rsidRPr="00B72670">
        <w:rPr>
          <w:rFonts w:ascii="Arial" w:hAnsi="Arial" w:cs="Arial"/>
        </w:rPr>
        <w:t xml:space="preserve">budget.  </w:t>
      </w:r>
    </w:p>
    <w:p w:rsidR="00CA3653" w:rsidRDefault="00CA3653" w:rsidP="00CA3653">
      <w:pPr>
        <w:tabs>
          <w:tab w:val="left" w:pos="4140"/>
        </w:tabs>
        <w:rPr>
          <w:rFonts w:ascii="Arial" w:hAnsi="Arial" w:cs="Arial"/>
        </w:rPr>
      </w:pPr>
    </w:p>
    <w:p w:rsidR="00CA3653" w:rsidRDefault="00CA3653" w:rsidP="00CA3653">
      <w:pPr>
        <w:tabs>
          <w:tab w:val="left" w:pos="4140"/>
        </w:tabs>
        <w:rPr>
          <w:rFonts w:ascii="Arial" w:hAnsi="Arial" w:cs="Arial"/>
        </w:rPr>
      </w:pPr>
      <w:r>
        <w:rPr>
          <w:rFonts w:ascii="Arial" w:hAnsi="Arial" w:cs="Arial"/>
        </w:rPr>
        <w:t>The One Adelante budget would support the following:</w:t>
      </w:r>
    </w:p>
    <w:p w:rsidR="00CA3653" w:rsidRDefault="00CA3653" w:rsidP="001F6922">
      <w:pPr>
        <w:numPr>
          <w:ilvl w:val="0"/>
          <w:numId w:val="16"/>
        </w:numPr>
        <w:rPr>
          <w:rFonts w:ascii="Arial" w:hAnsi="Arial" w:cs="Arial"/>
        </w:rPr>
      </w:pPr>
      <w:r w:rsidRPr="00B72670">
        <w:rPr>
          <w:rFonts w:ascii="Arial" w:hAnsi="Arial" w:cs="Arial"/>
        </w:rPr>
        <w:t xml:space="preserve">Creating </w:t>
      </w:r>
      <w:r w:rsidR="008A15DB">
        <w:rPr>
          <w:rFonts w:ascii="Arial" w:hAnsi="Arial" w:cs="Arial"/>
        </w:rPr>
        <w:t xml:space="preserve">and maintaining </w:t>
      </w:r>
      <w:r w:rsidRPr="00B72670">
        <w:rPr>
          <w:rFonts w:ascii="Arial" w:hAnsi="Arial" w:cs="Arial"/>
        </w:rPr>
        <w:t xml:space="preserve">the </w:t>
      </w:r>
      <w:r>
        <w:rPr>
          <w:rFonts w:ascii="Arial" w:hAnsi="Arial" w:cs="Arial"/>
        </w:rPr>
        <w:t>One Adelante</w:t>
      </w:r>
      <w:r w:rsidRPr="00B72670">
        <w:rPr>
          <w:rFonts w:ascii="Arial" w:hAnsi="Arial" w:cs="Arial"/>
        </w:rPr>
        <w:t xml:space="preserve"> website</w:t>
      </w:r>
      <w:r w:rsidR="00F20766">
        <w:rPr>
          <w:rFonts w:ascii="Arial" w:hAnsi="Arial" w:cs="Arial"/>
        </w:rPr>
        <w:t>.</w:t>
      </w:r>
      <w:r w:rsidRPr="00B72670">
        <w:rPr>
          <w:rFonts w:ascii="Arial" w:hAnsi="Arial" w:cs="Arial"/>
        </w:rPr>
        <w:t xml:space="preserve"> </w:t>
      </w:r>
    </w:p>
    <w:p w:rsidR="00CA3653" w:rsidRPr="00B72670" w:rsidRDefault="00CA3653" w:rsidP="001F6922">
      <w:pPr>
        <w:numPr>
          <w:ilvl w:val="0"/>
          <w:numId w:val="16"/>
        </w:numPr>
        <w:rPr>
          <w:rFonts w:ascii="Arial" w:hAnsi="Arial" w:cs="Arial"/>
        </w:rPr>
      </w:pPr>
      <w:r>
        <w:rPr>
          <w:rFonts w:ascii="Arial" w:hAnsi="Arial" w:cs="Arial"/>
        </w:rPr>
        <w:t>A</w:t>
      </w:r>
      <w:r w:rsidRPr="00B72670">
        <w:rPr>
          <w:rFonts w:ascii="Arial" w:hAnsi="Arial" w:cs="Arial"/>
        </w:rPr>
        <w:t>nnual strategic planning meetings</w:t>
      </w:r>
      <w:r w:rsidR="00F20766">
        <w:rPr>
          <w:rFonts w:ascii="Arial" w:hAnsi="Arial" w:cs="Arial"/>
        </w:rPr>
        <w:t>.</w:t>
      </w:r>
    </w:p>
    <w:p w:rsidR="00CA3653" w:rsidRDefault="00CF118D" w:rsidP="001F6922">
      <w:pPr>
        <w:numPr>
          <w:ilvl w:val="0"/>
          <w:numId w:val="16"/>
        </w:numPr>
        <w:rPr>
          <w:rFonts w:ascii="Arial" w:hAnsi="Arial" w:cs="Arial"/>
        </w:rPr>
      </w:pPr>
      <w:r>
        <w:rPr>
          <w:rFonts w:ascii="Arial" w:hAnsi="Arial" w:cs="Arial"/>
        </w:rPr>
        <w:t>Hispanic Heritage Month (HHM)</w:t>
      </w:r>
      <w:r w:rsidRPr="00B72670">
        <w:rPr>
          <w:rFonts w:ascii="Arial" w:hAnsi="Arial" w:cs="Arial"/>
        </w:rPr>
        <w:t xml:space="preserve"> </w:t>
      </w:r>
      <w:r w:rsidR="00CA3653" w:rsidRPr="00B72670">
        <w:rPr>
          <w:rFonts w:ascii="Arial" w:hAnsi="Arial" w:cs="Arial"/>
        </w:rPr>
        <w:t xml:space="preserve">Summit &amp; Celebration tied to </w:t>
      </w:r>
      <w:r w:rsidR="00CA3653">
        <w:rPr>
          <w:rFonts w:ascii="Arial" w:hAnsi="Arial" w:cs="Arial"/>
        </w:rPr>
        <w:t>a n</w:t>
      </w:r>
      <w:r w:rsidR="00CA3653" w:rsidRPr="00B72670">
        <w:rPr>
          <w:rFonts w:ascii="Arial" w:hAnsi="Arial" w:cs="Arial"/>
        </w:rPr>
        <w:t>ational conference</w:t>
      </w:r>
      <w:r w:rsidR="00F20766">
        <w:rPr>
          <w:rFonts w:ascii="Arial" w:hAnsi="Arial" w:cs="Arial"/>
        </w:rPr>
        <w:t>.</w:t>
      </w:r>
    </w:p>
    <w:p w:rsidR="00E060C5" w:rsidRPr="00E060C5" w:rsidRDefault="00E060C5" w:rsidP="00E060C5">
      <w:pPr>
        <w:pStyle w:val="ListParagraph"/>
        <w:numPr>
          <w:ilvl w:val="0"/>
          <w:numId w:val="16"/>
        </w:numPr>
        <w:rPr>
          <w:rFonts w:ascii="Arial" w:hAnsi="Arial" w:cs="Arial"/>
        </w:rPr>
      </w:pPr>
      <w:r w:rsidRPr="00E060C5">
        <w:rPr>
          <w:rFonts w:ascii="Arial" w:hAnsi="Arial" w:cs="Arial"/>
        </w:rPr>
        <w:t xml:space="preserve">The One Adelante budget shall be allocated yearly with the </w:t>
      </w:r>
      <w:r w:rsidR="00264211">
        <w:rPr>
          <w:rFonts w:ascii="Arial" w:hAnsi="Arial" w:cs="Arial"/>
        </w:rPr>
        <w:t>beginning</w:t>
      </w:r>
      <w:r w:rsidR="00264211" w:rsidRPr="00E060C5">
        <w:rPr>
          <w:rFonts w:ascii="Arial" w:hAnsi="Arial" w:cs="Arial"/>
        </w:rPr>
        <w:t xml:space="preserve"> </w:t>
      </w:r>
      <w:r w:rsidRPr="00E060C5">
        <w:rPr>
          <w:rFonts w:ascii="Arial" w:hAnsi="Arial" w:cs="Arial"/>
        </w:rPr>
        <w:t>of each calendar year and approved by the executive sponsor and the Office of Corporate responsibility.</w:t>
      </w:r>
    </w:p>
    <w:p w:rsidR="00E060C5" w:rsidRPr="000242C7" w:rsidRDefault="00E060C5" w:rsidP="00E060C5">
      <w:pPr>
        <w:pStyle w:val="ListParagraph"/>
        <w:numPr>
          <w:ilvl w:val="0"/>
          <w:numId w:val="16"/>
        </w:numPr>
      </w:pPr>
      <w:r w:rsidRPr="00E060C5">
        <w:rPr>
          <w:rFonts w:ascii="Arial" w:hAnsi="Arial" w:cs="Arial"/>
        </w:rPr>
        <w:t>The One Adelante budget expenditures and reimbursement process will be determined by the Office of Corporate Responsibility.</w:t>
      </w:r>
      <w:r w:rsidRPr="00B333D9">
        <w:rPr>
          <w:rFonts w:ascii="Arial" w:hAnsi="Arial" w:cs="Arial"/>
          <w:color w:val="FF0000"/>
        </w:rPr>
        <w:t xml:space="preserve">  </w:t>
      </w:r>
    </w:p>
    <w:p w:rsidR="00CA3653" w:rsidRPr="00B72670" w:rsidRDefault="00CA3653" w:rsidP="00CA3653">
      <w:pPr>
        <w:tabs>
          <w:tab w:val="left" w:pos="4140"/>
        </w:tabs>
        <w:ind w:left="1080"/>
        <w:rPr>
          <w:rFonts w:ascii="Arial" w:hAnsi="Arial" w:cs="Arial"/>
        </w:rPr>
      </w:pPr>
    </w:p>
    <w:p w:rsidR="00CA3653" w:rsidRPr="00B72670" w:rsidRDefault="00CA3653" w:rsidP="00CA3653">
      <w:pPr>
        <w:rPr>
          <w:rFonts w:ascii="Arial" w:hAnsi="Arial" w:cs="Arial"/>
        </w:rPr>
      </w:pPr>
      <w:r w:rsidRPr="00B72670">
        <w:rPr>
          <w:rFonts w:ascii="Arial" w:hAnsi="Arial" w:cs="Arial"/>
        </w:rPr>
        <w:t xml:space="preserve">The </w:t>
      </w:r>
      <w:r>
        <w:rPr>
          <w:rFonts w:ascii="Arial" w:hAnsi="Arial" w:cs="Arial"/>
        </w:rPr>
        <w:t>s</w:t>
      </w:r>
      <w:r w:rsidRPr="00B72670">
        <w:rPr>
          <w:rFonts w:ascii="Arial" w:hAnsi="Arial" w:cs="Arial"/>
        </w:rPr>
        <w:t>ector</w:t>
      </w:r>
      <w:r w:rsidR="00BD245C">
        <w:rPr>
          <w:rFonts w:ascii="Arial" w:hAnsi="Arial" w:cs="Arial"/>
        </w:rPr>
        <w:t xml:space="preserve"> and campus</w:t>
      </w:r>
      <w:r w:rsidR="005D1068">
        <w:rPr>
          <w:rFonts w:ascii="Arial" w:hAnsi="Arial" w:cs="Arial"/>
        </w:rPr>
        <w:t>/regional</w:t>
      </w:r>
      <w:r>
        <w:rPr>
          <w:rFonts w:ascii="Arial" w:hAnsi="Arial" w:cs="Arial"/>
        </w:rPr>
        <w:t xml:space="preserve"> c</w:t>
      </w:r>
      <w:r w:rsidRPr="00B72670">
        <w:rPr>
          <w:rFonts w:ascii="Arial" w:hAnsi="Arial" w:cs="Arial"/>
        </w:rPr>
        <w:t>hapters</w:t>
      </w:r>
      <w:r w:rsidR="00BD245C">
        <w:rPr>
          <w:rFonts w:ascii="Arial" w:hAnsi="Arial" w:cs="Arial"/>
        </w:rPr>
        <w:t>’</w:t>
      </w:r>
      <w:r w:rsidRPr="00B72670">
        <w:rPr>
          <w:rFonts w:ascii="Arial" w:hAnsi="Arial" w:cs="Arial"/>
        </w:rPr>
        <w:t xml:space="preserve"> budget </w:t>
      </w:r>
      <w:r w:rsidR="005D1068">
        <w:rPr>
          <w:rFonts w:ascii="Arial" w:hAnsi="Arial" w:cs="Arial"/>
        </w:rPr>
        <w:t xml:space="preserve">will be maintained by the assigned authority.  </w:t>
      </w:r>
      <w:r w:rsidR="00BD245C">
        <w:rPr>
          <w:rFonts w:ascii="Arial" w:hAnsi="Arial" w:cs="Arial"/>
        </w:rPr>
        <w:t>The regional chapters’ budgets will be determined on a case-by-case basis in collaboration with each sector</w:t>
      </w:r>
      <w:r w:rsidR="005D1068">
        <w:rPr>
          <w:rFonts w:ascii="Arial" w:hAnsi="Arial" w:cs="Arial"/>
        </w:rPr>
        <w:t>.</w:t>
      </w:r>
      <w:r w:rsidR="00BD245C">
        <w:rPr>
          <w:rFonts w:ascii="Arial" w:hAnsi="Arial" w:cs="Arial"/>
        </w:rPr>
        <w:t xml:space="preserve"> </w:t>
      </w:r>
    </w:p>
    <w:p w:rsidR="00CA3653" w:rsidRPr="00B72670" w:rsidRDefault="00CA3653" w:rsidP="00CA3653">
      <w:pPr>
        <w:rPr>
          <w:rFonts w:ascii="Arial" w:hAnsi="Arial" w:cs="Arial"/>
        </w:rPr>
      </w:pPr>
    </w:p>
    <w:p w:rsidR="00897837" w:rsidRDefault="00CA3653" w:rsidP="00CA3653">
      <w:pPr>
        <w:spacing w:before="120" w:after="60"/>
        <w:rPr>
          <w:rFonts w:ascii="Arial" w:hAnsi="Arial" w:cs="Arial"/>
        </w:rPr>
      </w:pPr>
      <w:r w:rsidRPr="00B72670">
        <w:rPr>
          <w:rFonts w:ascii="Arial" w:hAnsi="Arial" w:cs="Arial"/>
        </w:rPr>
        <w:t>Each</w:t>
      </w:r>
      <w:r w:rsidR="00897837">
        <w:rPr>
          <w:rFonts w:ascii="Arial" w:hAnsi="Arial" w:cs="Arial"/>
        </w:rPr>
        <w:t xml:space="preserve"> </w:t>
      </w:r>
      <w:r>
        <w:rPr>
          <w:rFonts w:ascii="Arial" w:hAnsi="Arial" w:cs="Arial"/>
        </w:rPr>
        <w:t>campus</w:t>
      </w:r>
      <w:r w:rsidRPr="00B72670">
        <w:rPr>
          <w:rFonts w:ascii="Arial" w:hAnsi="Arial" w:cs="Arial"/>
        </w:rPr>
        <w:t>/</w:t>
      </w:r>
      <w:r>
        <w:rPr>
          <w:rFonts w:ascii="Arial" w:hAnsi="Arial" w:cs="Arial"/>
        </w:rPr>
        <w:t>r</w:t>
      </w:r>
      <w:r w:rsidRPr="00B72670">
        <w:rPr>
          <w:rFonts w:ascii="Arial" w:hAnsi="Arial" w:cs="Arial"/>
        </w:rPr>
        <w:t xml:space="preserve">egional </w:t>
      </w:r>
      <w:r>
        <w:rPr>
          <w:rFonts w:ascii="Arial" w:hAnsi="Arial" w:cs="Arial"/>
        </w:rPr>
        <w:t>c</w:t>
      </w:r>
      <w:r w:rsidRPr="00B72670">
        <w:rPr>
          <w:rFonts w:ascii="Arial" w:hAnsi="Arial" w:cs="Arial"/>
        </w:rPr>
        <w:t xml:space="preserve">hapter will be responsible for developing </w:t>
      </w:r>
      <w:r w:rsidR="00897837">
        <w:rPr>
          <w:rFonts w:ascii="Arial" w:hAnsi="Arial" w:cs="Arial"/>
        </w:rPr>
        <w:t xml:space="preserve">their own </w:t>
      </w:r>
      <w:r w:rsidRPr="00B72670">
        <w:rPr>
          <w:rFonts w:ascii="Arial" w:hAnsi="Arial" w:cs="Arial"/>
        </w:rPr>
        <w:t xml:space="preserve">budget request, tracking expenditures against the budget and reporting periodic budget status </w:t>
      </w:r>
      <w:r w:rsidRPr="00B72670">
        <w:rPr>
          <w:rFonts w:ascii="Arial" w:hAnsi="Arial" w:cs="Arial"/>
        </w:rPr>
        <w:lastRenderedPageBreak/>
        <w:t xml:space="preserve">to </w:t>
      </w:r>
      <w:r w:rsidR="005D1068">
        <w:rPr>
          <w:rFonts w:ascii="Arial" w:hAnsi="Arial" w:cs="Arial"/>
        </w:rPr>
        <w:t xml:space="preserve">their specific </w:t>
      </w:r>
      <w:r>
        <w:rPr>
          <w:rFonts w:ascii="Arial" w:hAnsi="Arial" w:cs="Arial"/>
        </w:rPr>
        <w:t>s</w:t>
      </w:r>
      <w:r w:rsidRPr="00B72670">
        <w:rPr>
          <w:rFonts w:ascii="Arial" w:hAnsi="Arial" w:cs="Arial"/>
        </w:rPr>
        <w:t>ector</w:t>
      </w:r>
      <w:r w:rsidR="00897837">
        <w:rPr>
          <w:rFonts w:ascii="Arial" w:hAnsi="Arial" w:cs="Arial"/>
        </w:rPr>
        <w:t xml:space="preserve"> b</w:t>
      </w:r>
      <w:r w:rsidRPr="00B72670">
        <w:rPr>
          <w:rFonts w:ascii="Arial" w:hAnsi="Arial" w:cs="Arial"/>
        </w:rPr>
        <w:t>oard.</w:t>
      </w:r>
      <w:r w:rsidR="00897837">
        <w:rPr>
          <w:rFonts w:ascii="Arial" w:hAnsi="Arial" w:cs="Arial"/>
        </w:rPr>
        <w:t xml:space="preserve">  Adelante sectors will track and monitor their own budget and report budget expenditure metrics and request to their sector diversity council for review.  </w:t>
      </w:r>
    </w:p>
    <w:p w:rsidR="00CA3653" w:rsidRPr="00E060C5" w:rsidRDefault="00CA3653" w:rsidP="001F6922">
      <w:pPr>
        <w:pStyle w:val="Heading1"/>
        <w:numPr>
          <w:ilvl w:val="1"/>
          <w:numId w:val="27"/>
        </w:numPr>
        <w:rPr>
          <w:sz w:val="28"/>
          <w:szCs w:val="28"/>
        </w:rPr>
      </w:pPr>
      <w:bookmarkStart w:id="54" w:name="_Toc290505406"/>
      <w:bookmarkStart w:id="55" w:name="_Toc290505477"/>
      <w:bookmarkStart w:id="56" w:name="_Charging"/>
      <w:bookmarkStart w:id="57" w:name="_Reimbursements"/>
      <w:bookmarkStart w:id="58" w:name="_Toc290505478"/>
      <w:bookmarkEnd w:id="54"/>
      <w:bookmarkEnd w:id="55"/>
      <w:bookmarkEnd w:id="56"/>
      <w:bookmarkEnd w:id="57"/>
      <w:r w:rsidRPr="00AB169F">
        <w:rPr>
          <w:sz w:val="28"/>
          <w:szCs w:val="28"/>
        </w:rPr>
        <w:t xml:space="preserve">Status and Financial Briefings </w:t>
      </w:r>
      <w:bookmarkEnd w:id="58"/>
    </w:p>
    <w:p w:rsidR="002D2DDB" w:rsidRDefault="00B333D9">
      <w:pPr>
        <w:rPr>
          <w:rFonts w:ascii="Arial" w:hAnsi="Arial" w:cs="Arial"/>
        </w:rPr>
      </w:pPr>
      <w:r>
        <w:rPr>
          <w:rFonts w:ascii="Arial" w:hAnsi="Arial" w:cs="Arial"/>
        </w:rPr>
        <w:t xml:space="preserve">The One Adelante executive board will be responsible for providing </w:t>
      </w:r>
      <w:r w:rsidR="005D1068">
        <w:rPr>
          <w:rFonts w:ascii="Arial" w:hAnsi="Arial" w:cs="Arial"/>
        </w:rPr>
        <w:t>two</w:t>
      </w:r>
      <w:r>
        <w:rPr>
          <w:rFonts w:ascii="Arial" w:hAnsi="Arial" w:cs="Arial"/>
        </w:rPr>
        <w:t xml:space="preserve"> </w:t>
      </w:r>
      <w:r w:rsidR="005D1068">
        <w:rPr>
          <w:rFonts w:ascii="Arial" w:hAnsi="Arial" w:cs="Arial"/>
        </w:rPr>
        <w:t xml:space="preserve">budget reports a year </w:t>
      </w:r>
      <w:r>
        <w:rPr>
          <w:rFonts w:ascii="Arial" w:hAnsi="Arial" w:cs="Arial"/>
        </w:rPr>
        <w:t>to the</w:t>
      </w:r>
      <w:r w:rsidRPr="00B333D9">
        <w:rPr>
          <w:rFonts w:ascii="Arial" w:hAnsi="Arial" w:cs="Arial"/>
        </w:rPr>
        <w:t xml:space="preserve"> One Adelante </w:t>
      </w:r>
      <w:r>
        <w:rPr>
          <w:rFonts w:ascii="Arial" w:hAnsi="Arial" w:cs="Arial"/>
        </w:rPr>
        <w:t xml:space="preserve">board, </w:t>
      </w:r>
      <w:r w:rsidR="006F0B1A">
        <w:rPr>
          <w:rFonts w:ascii="Arial" w:hAnsi="Arial" w:cs="Arial"/>
        </w:rPr>
        <w:t xml:space="preserve">including advisors </w:t>
      </w:r>
      <w:r>
        <w:rPr>
          <w:rFonts w:ascii="Arial" w:hAnsi="Arial" w:cs="Arial"/>
        </w:rPr>
        <w:t xml:space="preserve">on activities related to the organization and any upcoming events/news.  </w:t>
      </w:r>
      <w:r w:rsidR="006F0B1A">
        <w:rPr>
          <w:rFonts w:ascii="Arial" w:hAnsi="Arial" w:cs="Arial"/>
        </w:rPr>
        <w:t xml:space="preserve">Status about One Adelante will be provided to the Executive sponsor and the Office of Corporate Responsibility quarterly or as requested.  </w:t>
      </w:r>
    </w:p>
    <w:p w:rsidR="002D2DDB" w:rsidRDefault="002D2DDB">
      <w:pPr>
        <w:rPr>
          <w:rFonts w:ascii="Arial" w:hAnsi="Arial" w:cs="Arial"/>
        </w:rPr>
      </w:pPr>
    </w:p>
    <w:p w:rsidR="006F0B1A" w:rsidRPr="00B72670" w:rsidRDefault="00E060C5" w:rsidP="006F0B1A">
      <w:pPr>
        <w:rPr>
          <w:rFonts w:ascii="Arial" w:hAnsi="Arial" w:cs="Arial"/>
        </w:rPr>
      </w:pPr>
      <w:r w:rsidRPr="00B72670">
        <w:rPr>
          <w:rFonts w:ascii="Arial" w:hAnsi="Arial" w:cs="Arial"/>
        </w:rPr>
        <w:t>Sector</w:t>
      </w:r>
      <w:r>
        <w:rPr>
          <w:rFonts w:ascii="Arial" w:hAnsi="Arial" w:cs="Arial"/>
        </w:rPr>
        <w:t xml:space="preserve"> is</w:t>
      </w:r>
      <w:r w:rsidR="005D1068">
        <w:rPr>
          <w:rFonts w:ascii="Arial" w:hAnsi="Arial" w:cs="Arial"/>
        </w:rPr>
        <w:t xml:space="preserve"> encouraged to provide quarterly status</w:t>
      </w:r>
      <w:r w:rsidR="00CA3653" w:rsidRPr="00B72670">
        <w:rPr>
          <w:rFonts w:ascii="Arial" w:hAnsi="Arial" w:cs="Arial"/>
        </w:rPr>
        <w:t xml:space="preserve"> </w:t>
      </w:r>
      <w:r w:rsidR="005D1068">
        <w:rPr>
          <w:rFonts w:ascii="Arial" w:hAnsi="Arial" w:cs="Arial"/>
        </w:rPr>
        <w:t>reports to the One Adelante Board</w:t>
      </w:r>
      <w:r w:rsidR="00CA3653" w:rsidRPr="00B72670">
        <w:rPr>
          <w:rFonts w:ascii="Arial" w:hAnsi="Arial" w:cs="Arial"/>
        </w:rPr>
        <w:t xml:space="preserve">. Each </w:t>
      </w:r>
      <w:r>
        <w:rPr>
          <w:rFonts w:ascii="Arial" w:hAnsi="Arial" w:cs="Arial"/>
        </w:rPr>
        <w:t>s</w:t>
      </w:r>
      <w:r w:rsidRPr="00B72670">
        <w:rPr>
          <w:rFonts w:ascii="Arial" w:hAnsi="Arial" w:cs="Arial"/>
        </w:rPr>
        <w:t>ector</w:t>
      </w:r>
      <w:r w:rsidR="00CA3653">
        <w:rPr>
          <w:rFonts w:ascii="Arial" w:hAnsi="Arial" w:cs="Arial"/>
        </w:rPr>
        <w:t xml:space="preserve"> </w:t>
      </w:r>
      <w:r w:rsidR="005D1068">
        <w:rPr>
          <w:rFonts w:ascii="Arial" w:hAnsi="Arial" w:cs="Arial"/>
        </w:rPr>
        <w:t>will also provide</w:t>
      </w:r>
      <w:r w:rsidR="00CA3653" w:rsidRPr="00B72670">
        <w:rPr>
          <w:rFonts w:ascii="Arial" w:hAnsi="Arial" w:cs="Arial"/>
        </w:rPr>
        <w:t xml:space="preserve"> a</w:t>
      </w:r>
      <w:r w:rsidR="006F0B1A">
        <w:rPr>
          <w:rFonts w:ascii="Arial" w:hAnsi="Arial" w:cs="Arial"/>
        </w:rPr>
        <w:t xml:space="preserve">n end of the year </w:t>
      </w:r>
      <w:r w:rsidR="00CA3653" w:rsidRPr="00B72670">
        <w:rPr>
          <w:rFonts w:ascii="Arial" w:hAnsi="Arial" w:cs="Arial"/>
        </w:rPr>
        <w:t xml:space="preserve">status briefing to the </w:t>
      </w:r>
      <w:r w:rsidR="006F0B1A">
        <w:rPr>
          <w:rFonts w:ascii="Arial" w:hAnsi="Arial" w:cs="Arial"/>
        </w:rPr>
        <w:t xml:space="preserve">One Adelante </w:t>
      </w:r>
      <w:r w:rsidR="00CA3653" w:rsidRPr="00B72670">
        <w:rPr>
          <w:rFonts w:ascii="Arial" w:hAnsi="Arial" w:cs="Arial"/>
        </w:rPr>
        <w:t>Board</w:t>
      </w:r>
      <w:r w:rsidR="006F0B1A">
        <w:rPr>
          <w:rFonts w:ascii="Arial" w:hAnsi="Arial" w:cs="Arial"/>
        </w:rPr>
        <w:t xml:space="preserve"> to </w:t>
      </w:r>
      <w:r w:rsidR="006F0B1A" w:rsidRPr="00B72670">
        <w:rPr>
          <w:rFonts w:ascii="Arial" w:hAnsi="Arial" w:cs="Arial"/>
        </w:rPr>
        <w:t>inform every</w:t>
      </w:r>
      <w:r w:rsidR="006F0B1A">
        <w:rPr>
          <w:rFonts w:ascii="Arial" w:hAnsi="Arial" w:cs="Arial"/>
        </w:rPr>
        <w:t>one</w:t>
      </w:r>
      <w:r w:rsidR="006F0B1A" w:rsidRPr="00B72670">
        <w:rPr>
          <w:rFonts w:ascii="Arial" w:hAnsi="Arial" w:cs="Arial"/>
        </w:rPr>
        <w:t xml:space="preserve"> of the progress and achievements of the Chapter. </w:t>
      </w:r>
    </w:p>
    <w:p w:rsidR="00CA3653" w:rsidRPr="00B72670" w:rsidRDefault="00CA3653" w:rsidP="00CA3653">
      <w:pPr>
        <w:rPr>
          <w:rFonts w:ascii="Arial" w:hAnsi="Arial" w:cs="Arial"/>
        </w:rPr>
      </w:pPr>
    </w:p>
    <w:p w:rsidR="00CA3653" w:rsidRPr="00B72670" w:rsidRDefault="00CA3653" w:rsidP="00CA3653">
      <w:pPr>
        <w:rPr>
          <w:rFonts w:ascii="Arial" w:hAnsi="Arial" w:cs="Arial"/>
        </w:rPr>
      </w:pPr>
    </w:p>
    <w:p w:rsidR="00CA3653" w:rsidRPr="00AB169F" w:rsidRDefault="00CA3653" w:rsidP="001F6922">
      <w:pPr>
        <w:pStyle w:val="Heading1"/>
        <w:numPr>
          <w:ilvl w:val="0"/>
          <w:numId w:val="27"/>
        </w:numPr>
        <w:rPr>
          <w:sz w:val="28"/>
          <w:szCs w:val="28"/>
        </w:rPr>
      </w:pPr>
      <w:bookmarkStart w:id="59" w:name="_Toc169512041"/>
      <w:bookmarkStart w:id="60" w:name="_Toc290505479"/>
      <w:r w:rsidRPr="00AB169F">
        <w:rPr>
          <w:sz w:val="28"/>
          <w:szCs w:val="28"/>
        </w:rPr>
        <w:t>Conclusion</w:t>
      </w:r>
      <w:bookmarkEnd w:id="59"/>
      <w:bookmarkEnd w:id="60"/>
    </w:p>
    <w:p w:rsidR="00CA3653" w:rsidRPr="002337B3" w:rsidRDefault="00CA3653" w:rsidP="00CA3653">
      <w:pPr>
        <w:rPr>
          <w:rFonts w:ascii="Arial" w:hAnsi="Arial" w:cs="Arial"/>
          <w:highlight w:val="green"/>
        </w:rPr>
        <w:sectPr w:rsidR="00CA3653" w:rsidRPr="002337B3" w:rsidSect="00157C86">
          <w:footerReference w:type="default" r:id="rId22"/>
          <w:pgSz w:w="12240" w:h="15840" w:code="257"/>
          <w:pgMar w:top="1440" w:right="1440" w:bottom="1440" w:left="1440" w:header="720" w:footer="720" w:gutter="0"/>
          <w:pgNumType w:start="1"/>
          <w:cols w:space="720"/>
          <w:docGrid w:linePitch="360"/>
        </w:sectPr>
      </w:pPr>
      <w:r w:rsidRPr="00B72670">
        <w:rPr>
          <w:rFonts w:ascii="Arial" w:hAnsi="Arial" w:cs="Arial"/>
        </w:rPr>
        <w:t xml:space="preserve">This </w:t>
      </w:r>
      <w:r>
        <w:rPr>
          <w:rFonts w:ascii="Arial" w:hAnsi="Arial" w:cs="Arial"/>
        </w:rPr>
        <w:t>Governance Model</w:t>
      </w:r>
      <w:r w:rsidRPr="00B72670">
        <w:rPr>
          <w:rFonts w:ascii="Arial" w:hAnsi="Arial" w:cs="Arial"/>
        </w:rPr>
        <w:t xml:space="preserve"> </w:t>
      </w:r>
      <w:r>
        <w:rPr>
          <w:rFonts w:ascii="Arial" w:hAnsi="Arial" w:cs="Arial"/>
        </w:rPr>
        <w:t xml:space="preserve">offers guidelines </w:t>
      </w:r>
      <w:r w:rsidRPr="00B72670">
        <w:rPr>
          <w:rFonts w:ascii="Arial" w:hAnsi="Arial" w:cs="Arial"/>
        </w:rPr>
        <w:t xml:space="preserve">for the operation of </w:t>
      </w:r>
      <w:r w:rsidR="007656C2">
        <w:rPr>
          <w:rFonts w:ascii="Arial" w:hAnsi="Arial" w:cs="Arial"/>
        </w:rPr>
        <w:t>Enterprise-level One Adelante Employee Resource Group and Executive Board</w:t>
      </w:r>
      <w:r w:rsidRPr="00B72670">
        <w:rPr>
          <w:rFonts w:ascii="Arial" w:hAnsi="Arial" w:cs="Arial"/>
        </w:rPr>
        <w:t>. Any changes to this document must be approved and implemented by the Enterprise Executive Board. Sector</w:t>
      </w:r>
      <w:r>
        <w:rPr>
          <w:rFonts w:ascii="Arial" w:hAnsi="Arial" w:cs="Arial"/>
        </w:rPr>
        <w:t>,</w:t>
      </w:r>
      <w:r w:rsidR="00B14ADF">
        <w:rPr>
          <w:rFonts w:ascii="Arial" w:hAnsi="Arial" w:cs="Arial"/>
        </w:rPr>
        <w:t xml:space="preserve"> </w:t>
      </w:r>
      <w:r>
        <w:rPr>
          <w:rFonts w:ascii="Arial" w:hAnsi="Arial" w:cs="Arial"/>
        </w:rPr>
        <w:t>campus</w:t>
      </w:r>
      <w:r w:rsidRPr="00B72670">
        <w:rPr>
          <w:rFonts w:ascii="Arial" w:hAnsi="Arial" w:cs="Arial"/>
        </w:rPr>
        <w:t>/</w:t>
      </w:r>
      <w:r>
        <w:rPr>
          <w:rFonts w:ascii="Arial" w:hAnsi="Arial" w:cs="Arial"/>
        </w:rPr>
        <w:t>r</w:t>
      </w:r>
      <w:r w:rsidRPr="00B72670">
        <w:rPr>
          <w:rFonts w:ascii="Arial" w:hAnsi="Arial" w:cs="Arial"/>
        </w:rPr>
        <w:t xml:space="preserve">egional </w:t>
      </w:r>
      <w:r>
        <w:rPr>
          <w:rFonts w:ascii="Arial" w:hAnsi="Arial" w:cs="Arial"/>
        </w:rPr>
        <w:t>c</w:t>
      </w:r>
      <w:r w:rsidRPr="00B72670">
        <w:rPr>
          <w:rFonts w:ascii="Arial" w:hAnsi="Arial" w:cs="Arial"/>
        </w:rPr>
        <w:t>hapters are encouraged to suggest additions and/or changes to the Enterprise Executive Board</w:t>
      </w:r>
      <w:r w:rsidR="00930DF4">
        <w:rPr>
          <w:rFonts w:ascii="Arial" w:hAnsi="Arial" w:cs="Arial"/>
        </w:rPr>
        <w:t xml:space="preserve"> in accordance with ERG procedure Co No H114</w:t>
      </w:r>
      <w:r w:rsidRPr="00B72670">
        <w:rPr>
          <w:rFonts w:ascii="Arial" w:hAnsi="Arial" w:cs="Arial"/>
        </w:rPr>
        <w:t xml:space="preserve">. </w:t>
      </w:r>
    </w:p>
    <w:p w:rsidR="00CA3653" w:rsidRDefault="00CA3653" w:rsidP="00CA3653">
      <w:pPr>
        <w:pStyle w:val="Heading1"/>
        <w:rPr>
          <w:sz w:val="24"/>
          <w:szCs w:val="24"/>
        </w:rPr>
      </w:pPr>
      <w:bookmarkStart w:id="61" w:name="_Toc290505480"/>
      <w:r>
        <w:rPr>
          <w:sz w:val="24"/>
          <w:szCs w:val="24"/>
        </w:rPr>
        <w:lastRenderedPageBreak/>
        <w:t xml:space="preserve">Appendix A:  </w:t>
      </w:r>
      <w:r w:rsidR="00B37B62">
        <w:rPr>
          <w:sz w:val="24"/>
          <w:szCs w:val="24"/>
        </w:rPr>
        <w:t>Events Suggestions</w:t>
      </w:r>
      <w:bookmarkEnd w:id="61"/>
      <w:r w:rsidR="00B37B62">
        <w:rPr>
          <w:sz w:val="24"/>
          <w:szCs w:val="24"/>
        </w:rPr>
        <w:t xml:space="preserve"> </w:t>
      </w:r>
    </w:p>
    <w:p w:rsidR="00CA3653" w:rsidRDefault="00CA3653" w:rsidP="00CA3653"/>
    <w:p w:rsidR="0027046A" w:rsidRPr="009171DE" w:rsidRDefault="000103EA">
      <w:pPr>
        <w:spacing w:before="100" w:beforeAutospacing="1"/>
        <w:rPr>
          <w:rFonts w:ascii="Arial" w:hAnsi="Arial" w:cs="Arial"/>
          <w:color w:val="333333"/>
        </w:rPr>
      </w:pPr>
      <w:r w:rsidRPr="009171DE">
        <w:rPr>
          <w:rFonts w:ascii="Arial" w:hAnsi="Arial" w:cs="Arial"/>
        </w:rPr>
        <w:t xml:space="preserve">Event Ideas: the following are suggested event ideas; however, the Sector and Campus/Regional chapters determine which one fits the needs of its community and membership.  All events must be done following the guidelines established in the </w:t>
      </w:r>
      <w:r w:rsidR="001E28E9" w:rsidRPr="001E28E9">
        <w:rPr>
          <w:rFonts w:ascii="Arial" w:hAnsi="Arial" w:cs="Arial"/>
        </w:rPr>
        <w:t xml:space="preserve">Corporate Procedure CO No. H114, Employee Resource Group Procedure, CO No. J103, </w:t>
      </w:r>
      <w:hyperlink r:id="rId23" w:history="1">
        <w:r w:rsidR="001E28E9" w:rsidRPr="001E28E9">
          <w:rPr>
            <w:rStyle w:val="Hyperlink"/>
            <w:rFonts w:ascii="Arial" w:hAnsi="Arial" w:cs="Arial"/>
            <w:u w:val="none"/>
          </w:rPr>
          <w:t>CO No. H403</w:t>
        </w:r>
      </w:hyperlink>
      <w:r w:rsidR="001E28E9" w:rsidRPr="001E28E9">
        <w:rPr>
          <w:rFonts w:ascii="Arial" w:hAnsi="Arial" w:cs="Arial"/>
        </w:rPr>
        <w:t>, Privacy of Employee Information, and CO No. J103, Protection of information.</w:t>
      </w:r>
    </w:p>
    <w:p w:rsidR="00CA3653" w:rsidRPr="009536E8" w:rsidRDefault="00CA3653" w:rsidP="00CA3653"/>
    <w:p w:rsidR="00CA3653" w:rsidRPr="00B72670" w:rsidRDefault="00CA3653" w:rsidP="00CA3653">
      <w:pPr>
        <w:pStyle w:val="Body"/>
        <w:spacing w:before="120" w:after="60"/>
        <w:ind w:left="0"/>
        <w:rPr>
          <w:rFonts w:ascii="Arial" w:hAnsi="Arial" w:cs="Arial"/>
          <w:sz w:val="24"/>
          <w:szCs w:val="24"/>
        </w:rPr>
      </w:pPr>
      <w:r w:rsidRPr="00B72670">
        <w:rPr>
          <w:rFonts w:ascii="Arial" w:hAnsi="Arial" w:cs="Arial"/>
          <w:sz w:val="24"/>
          <w:szCs w:val="24"/>
        </w:rPr>
        <w:t>Business Partner/Impact to the Business</w:t>
      </w:r>
    </w:p>
    <w:p w:rsidR="00CA3653" w:rsidRPr="00B72670" w:rsidRDefault="00CA3653" w:rsidP="001F6922">
      <w:pPr>
        <w:pStyle w:val="Body"/>
        <w:numPr>
          <w:ilvl w:val="0"/>
          <w:numId w:val="13"/>
        </w:numPr>
        <w:spacing w:before="120" w:after="60"/>
        <w:rPr>
          <w:rFonts w:ascii="Arial" w:hAnsi="Arial" w:cs="Arial"/>
          <w:sz w:val="24"/>
          <w:szCs w:val="24"/>
        </w:rPr>
      </w:pPr>
      <w:r w:rsidRPr="00B72670">
        <w:rPr>
          <w:rFonts w:ascii="Arial" w:hAnsi="Arial" w:cs="Arial"/>
          <w:sz w:val="24"/>
          <w:szCs w:val="24"/>
        </w:rPr>
        <w:t>Attend National Conferences to promote brand recognition</w:t>
      </w:r>
    </w:p>
    <w:p w:rsidR="00CA3653" w:rsidRPr="00B72670" w:rsidRDefault="00CA3653" w:rsidP="001F6922">
      <w:pPr>
        <w:pStyle w:val="Body"/>
        <w:numPr>
          <w:ilvl w:val="0"/>
          <w:numId w:val="13"/>
        </w:numPr>
        <w:spacing w:before="120" w:after="60"/>
        <w:rPr>
          <w:rFonts w:ascii="Arial" w:hAnsi="Arial" w:cs="Arial"/>
          <w:color w:val="333333"/>
          <w:sz w:val="24"/>
          <w:szCs w:val="24"/>
        </w:rPr>
      </w:pPr>
      <w:r w:rsidRPr="00B72670">
        <w:rPr>
          <w:rFonts w:ascii="Arial" w:hAnsi="Arial" w:cs="Arial"/>
          <w:sz w:val="24"/>
          <w:szCs w:val="24"/>
        </w:rPr>
        <w:t>Support Enterprise Engagement efforts</w:t>
      </w:r>
    </w:p>
    <w:p w:rsidR="00CA3653" w:rsidRPr="00B72670" w:rsidRDefault="00CA3653" w:rsidP="00CA3653">
      <w:pPr>
        <w:pStyle w:val="Body"/>
        <w:spacing w:before="120" w:after="60"/>
        <w:ind w:left="0"/>
        <w:rPr>
          <w:rFonts w:ascii="Arial" w:hAnsi="Arial" w:cs="Arial"/>
          <w:color w:val="333333"/>
          <w:sz w:val="24"/>
          <w:szCs w:val="24"/>
        </w:rPr>
      </w:pPr>
      <w:r w:rsidRPr="00B72670">
        <w:rPr>
          <w:rFonts w:ascii="Arial" w:hAnsi="Arial" w:cs="Arial"/>
          <w:color w:val="333333"/>
          <w:sz w:val="24"/>
          <w:szCs w:val="24"/>
        </w:rPr>
        <w:t>Career &amp; Leadership Development</w:t>
      </w:r>
    </w:p>
    <w:p w:rsidR="00174B3C" w:rsidRDefault="00174B3C" w:rsidP="001F6922">
      <w:pPr>
        <w:pStyle w:val="Body"/>
        <w:numPr>
          <w:ilvl w:val="0"/>
          <w:numId w:val="9"/>
        </w:numPr>
        <w:spacing w:before="120" w:after="60"/>
        <w:rPr>
          <w:rFonts w:ascii="Arial" w:hAnsi="Arial" w:cs="Arial"/>
          <w:sz w:val="24"/>
          <w:szCs w:val="24"/>
        </w:rPr>
      </w:pPr>
      <w:r>
        <w:rPr>
          <w:rFonts w:ascii="Arial" w:hAnsi="Arial" w:cs="Arial"/>
          <w:sz w:val="24"/>
          <w:szCs w:val="24"/>
        </w:rPr>
        <w:t>Hispanic Heritage Summit</w:t>
      </w:r>
    </w:p>
    <w:p w:rsidR="00CA3653" w:rsidRPr="00B72670" w:rsidRDefault="00CA3653" w:rsidP="001F6922">
      <w:pPr>
        <w:pStyle w:val="Body"/>
        <w:numPr>
          <w:ilvl w:val="0"/>
          <w:numId w:val="9"/>
        </w:numPr>
        <w:spacing w:before="120" w:after="60"/>
        <w:rPr>
          <w:rFonts w:ascii="Arial" w:hAnsi="Arial" w:cs="Arial"/>
          <w:sz w:val="24"/>
          <w:szCs w:val="24"/>
        </w:rPr>
      </w:pPr>
      <w:r w:rsidRPr="00B72670">
        <w:rPr>
          <w:rFonts w:ascii="Arial" w:hAnsi="Arial" w:cs="Arial"/>
          <w:sz w:val="24"/>
          <w:szCs w:val="24"/>
        </w:rPr>
        <w:t>Leadership Development Series</w:t>
      </w:r>
    </w:p>
    <w:p w:rsidR="00CA3653" w:rsidRPr="00B72670" w:rsidRDefault="00CA3653" w:rsidP="001F6922">
      <w:pPr>
        <w:pStyle w:val="Body"/>
        <w:numPr>
          <w:ilvl w:val="0"/>
          <w:numId w:val="9"/>
        </w:numPr>
        <w:spacing w:before="120" w:after="60"/>
        <w:rPr>
          <w:rFonts w:ascii="Arial" w:hAnsi="Arial" w:cs="Arial"/>
          <w:sz w:val="24"/>
          <w:szCs w:val="24"/>
        </w:rPr>
      </w:pPr>
      <w:r w:rsidRPr="00B72670">
        <w:rPr>
          <w:rFonts w:ascii="Arial" w:hAnsi="Arial" w:cs="Arial"/>
          <w:sz w:val="24"/>
          <w:szCs w:val="24"/>
        </w:rPr>
        <w:t>Education Fairs</w:t>
      </w:r>
    </w:p>
    <w:p w:rsidR="00CA3653" w:rsidRPr="00B72670" w:rsidRDefault="00CA3653" w:rsidP="001F6922">
      <w:pPr>
        <w:pStyle w:val="Body"/>
        <w:numPr>
          <w:ilvl w:val="0"/>
          <w:numId w:val="9"/>
        </w:numPr>
        <w:spacing w:before="120" w:after="60"/>
        <w:rPr>
          <w:rFonts w:ascii="Arial" w:hAnsi="Arial" w:cs="Arial"/>
          <w:sz w:val="24"/>
          <w:szCs w:val="24"/>
        </w:rPr>
      </w:pPr>
      <w:r w:rsidRPr="00B72670">
        <w:rPr>
          <w:rFonts w:ascii="Arial" w:hAnsi="Arial" w:cs="Arial"/>
          <w:sz w:val="24"/>
          <w:szCs w:val="24"/>
        </w:rPr>
        <w:t>Info sessions</w:t>
      </w:r>
    </w:p>
    <w:p w:rsidR="00CA3653" w:rsidRPr="00B72670" w:rsidRDefault="00CA3653" w:rsidP="001F6922">
      <w:pPr>
        <w:pStyle w:val="Body"/>
        <w:numPr>
          <w:ilvl w:val="0"/>
          <w:numId w:val="9"/>
        </w:numPr>
        <w:spacing w:before="120" w:after="60"/>
        <w:rPr>
          <w:rFonts w:ascii="Arial" w:hAnsi="Arial" w:cs="Arial"/>
          <w:sz w:val="24"/>
          <w:szCs w:val="24"/>
        </w:rPr>
      </w:pPr>
      <w:r w:rsidRPr="00B72670">
        <w:rPr>
          <w:rFonts w:ascii="Arial" w:hAnsi="Arial" w:cs="Arial"/>
          <w:sz w:val="24"/>
          <w:szCs w:val="24"/>
        </w:rPr>
        <w:t>Business Ethics Presentations</w:t>
      </w:r>
    </w:p>
    <w:p w:rsidR="00CA3653" w:rsidRPr="004140BE" w:rsidRDefault="00CA3653" w:rsidP="001F6922">
      <w:pPr>
        <w:pStyle w:val="Body"/>
        <w:numPr>
          <w:ilvl w:val="0"/>
          <w:numId w:val="9"/>
        </w:numPr>
        <w:spacing w:before="120" w:after="60"/>
        <w:rPr>
          <w:rFonts w:ascii="Arial" w:hAnsi="Arial" w:cs="Arial"/>
          <w:sz w:val="24"/>
          <w:szCs w:val="24"/>
        </w:rPr>
      </w:pPr>
      <w:r w:rsidRPr="004140BE">
        <w:rPr>
          <w:rFonts w:ascii="Arial" w:hAnsi="Arial" w:cs="Arial"/>
          <w:sz w:val="24"/>
          <w:szCs w:val="24"/>
        </w:rPr>
        <w:t xml:space="preserve">Thank you events for volunteers </w:t>
      </w:r>
    </w:p>
    <w:p w:rsidR="00CA3653" w:rsidRPr="004140BE" w:rsidRDefault="00CA3653" w:rsidP="001F6922">
      <w:pPr>
        <w:pStyle w:val="Body"/>
        <w:numPr>
          <w:ilvl w:val="0"/>
          <w:numId w:val="9"/>
        </w:numPr>
        <w:spacing w:before="120" w:after="60"/>
        <w:rPr>
          <w:rFonts w:ascii="Arial" w:hAnsi="Arial" w:cs="Arial"/>
          <w:sz w:val="24"/>
          <w:szCs w:val="24"/>
        </w:rPr>
      </w:pPr>
      <w:r w:rsidRPr="004140BE">
        <w:rPr>
          <w:rFonts w:ascii="Arial" w:hAnsi="Arial" w:cs="Arial"/>
          <w:sz w:val="24"/>
          <w:szCs w:val="24"/>
        </w:rPr>
        <w:t xml:space="preserve">Board retreat </w:t>
      </w:r>
    </w:p>
    <w:p w:rsidR="00CA3653" w:rsidRPr="00B72670" w:rsidRDefault="00CA3653" w:rsidP="00CA3653">
      <w:pPr>
        <w:pStyle w:val="Body"/>
        <w:spacing w:before="120" w:after="60"/>
        <w:ind w:left="0"/>
        <w:rPr>
          <w:rFonts w:ascii="Arial" w:hAnsi="Arial" w:cs="Arial"/>
          <w:bCs/>
          <w:color w:val="333333"/>
          <w:sz w:val="24"/>
          <w:szCs w:val="24"/>
        </w:rPr>
      </w:pPr>
      <w:r w:rsidRPr="00B72670">
        <w:rPr>
          <w:rFonts w:ascii="Arial" w:hAnsi="Arial" w:cs="Arial"/>
          <w:bCs/>
          <w:color w:val="333333"/>
          <w:sz w:val="24"/>
          <w:szCs w:val="24"/>
        </w:rPr>
        <w:t>Networking/Organizational Exposure</w:t>
      </w:r>
    </w:p>
    <w:p w:rsidR="00CA3653" w:rsidRPr="00B72670" w:rsidRDefault="00CA3653" w:rsidP="001F6922">
      <w:pPr>
        <w:pStyle w:val="Body"/>
        <w:numPr>
          <w:ilvl w:val="0"/>
          <w:numId w:val="10"/>
        </w:numPr>
        <w:spacing w:before="120" w:after="60"/>
        <w:rPr>
          <w:rFonts w:ascii="Arial" w:hAnsi="Arial" w:cs="Arial"/>
          <w:sz w:val="24"/>
          <w:szCs w:val="24"/>
        </w:rPr>
      </w:pPr>
      <w:r w:rsidRPr="00B72670">
        <w:rPr>
          <w:rFonts w:ascii="Arial" w:hAnsi="Arial" w:cs="Arial"/>
          <w:sz w:val="24"/>
          <w:szCs w:val="24"/>
        </w:rPr>
        <w:t>Lunch</w:t>
      </w:r>
      <w:r w:rsidR="00766E1B">
        <w:rPr>
          <w:rFonts w:ascii="Arial" w:hAnsi="Arial" w:cs="Arial"/>
          <w:sz w:val="24"/>
          <w:szCs w:val="24"/>
        </w:rPr>
        <w:t>/Breakfast</w:t>
      </w:r>
      <w:r w:rsidRPr="00B72670">
        <w:rPr>
          <w:rFonts w:ascii="Arial" w:hAnsi="Arial" w:cs="Arial"/>
          <w:sz w:val="24"/>
          <w:szCs w:val="24"/>
        </w:rPr>
        <w:t xml:space="preserve"> with </w:t>
      </w:r>
      <w:r>
        <w:rPr>
          <w:rFonts w:ascii="Arial" w:hAnsi="Arial" w:cs="Arial"/>
          <w:sz w:val="24"/>
          <w:szCs w:val="24"/>
        </w:rPr>
        <w:t xml:space="preserve">Executive </w:t>
      </w:r>
      <w:r w:rsidRPr="00B72670">
        <w:rPr>
          <w:rFonts w:ascii="Arial" w:hAnsi="Arial" w:cs="Arial"/>
          <w:sz w:val="24"/>
          <w:szCs w:val="24"/>
        </w:rPr>
        <w:t>leader</w:t>
      </w:r>
      <w:r>
        <w:rPr>
          <w:rFonts w:ascii="Arial" w:hAnsi="Arial" w:cs="Arial"/>
          <w:sz w:val="24"/>
          <w:szCs w:val="24"/>
        </w:rPr>
        <w:t>s &amp; VP Mixers</w:t>
      </w:r>
    </w:p>
    <w:p w:rsidR="00CA3653" w:rsidRPr="00B72670" w:rsidRDefault="00CA3653" w:rsidP="001F6922">
      <w:pPr>
        <w:pStyle w:val="Body"/>
        <w:numPr>
          <w:ilvl w:val="0"/>
          <w:numId w:val="10"/>
        </w:numPr>
        <w:spacing w:before="120" w:after="60"/>
        <w:rPr>
          <w:rFonts w:ascii="Arial" w:hAnsi="Arial" w:cs="Arial"/>
          <w:sz w:val="24"/>
          <w:szCs w:val="24"/>
        </w:rPr>
      </w:pPr>
      <w:r w:rsidRPr="00B72670">
        <w:rPr>
          <w:rFonts w:ascii="Arial" w:hAnsi="Arial" w:cs="Arial"/>
          <w:sz w:val="24"/>
          <w:szCs w:val="24"/>
        </w:rPr>
        <w:t>Speaker series</w:t>
      </w:r>
    </w:p>
    <w:p w:rsidR="00CA3653" w:rsidRDefault="00CA3653" w:rsidP="001F6922">
      <w:pPr>
        <w:pStyle w:val="Body"/>
        <w:numPr>
          <w:ilvl w:val="0"/>
          <w:numId w:val="10"/>
        </w:numPr>
        <w:spacing w:before="120" w:after="60"/>
        <w:rPr>
          <w:rFonts w:ascii="Arial" w:hAnsi="Arial" w:cs="Arial"/>
          <w:sz w:val="24"/>
          <w:szCs w:val="24"/>
        </w:rPr>
      </w:pPr>
      <w:r w:rsidRPr="00B72670">
        <w:rPr>
          <w:rFonts w:ascii="Arial" w:hAnsi="Arial" w:cs="Arial"/>
          <w:sz w:val="24"/>
          <w:szCs w:val="24"/>
        </w:rPr>
        <w:t>VP mixer</w:t>
      </w:r>
    </w:p>
    <w:p w:rsidR="00CA3653" w:rsidRPr="00B72670" w:rsidRDefault="00CA3653" w:rsidP="00CA3653">
      <w:pPr>
        <w:pStyle w:val="Body"/>
        <w:spacing w:before="120" w:after="60"/>
        <w:ind w:left="0"/>
        <w:rPr>
          <w:rFonts w:ascii="Arial" w:hAnsi="Arial" w:cs="Arial"/>
          <w:sz w:val="24"/>
          <w:szCs w:val="24"/>
        </w:rPr>
      </w:pPr>
      <w:r w:rsidRPr="00B72670">
        <w:rPr>
          <w:rFonts w:ascii="Arial" w:hAnsi="Arial" w:cs="Arial"/>
          <w:sz w:val="24"/>
          <w:szCs w:val="24"/>
        </w:rPr>
        <w:t>Recruiting and Retention</w:t>
      </w:r>
    </w:p>
    <w:p w:rsidR="00CA3653" w:rsidRPr="00B72670" w:rsidRDefault="00CA3653" w:rsidP="001F6922">
      <w:pPr>
        <w:pStyle w:val="Body"/>
        <w:numPr>
          <w:ilvl w:val="0"/>
          <w:numId w:val="14"/>
        </w:numPr>
        <w:spacing w:before="120" w:after="60"/>
        <w:rPr>
          <w:rFonts w:ascii="Arial" w:hAnsi="Arial" w:cs="Arial"/>
          <w:sz w:val="24"/>
          <w:szCs w:val="24"/>
        </w:rPr>
      </w:pPr>
      <w:r w:rsidRPr="00B72670">
        <w:rPr>
          <w:rFonts w:ascii="Arial" w:hAnsi="Arial" w:cs="Arial"/>
          <w:sz w:val="24"/>
          <w:szCs w:val="24"/>
        </w:rPr>
        <w:t>Career Fairs at National Conferences</w:t>
      </w:r>
    </w:p>
    <w:p w:rsidR="00CA3653" w:rsidRPr="00B72670" w:rsidRDefault="00CA3653" w:rsidP="001F6922">
      <w:pPr>
        <w:pStyle w:val="Body"/>
        <w:numPr>
          <w:ilvl w:val="0"/>
          <w:numId w:val="14"/>
        </w:numPr>
        <w:spacing w:before="120" w:after="60"/>
        <w:rPr>
          <w:rFonts w:ascii="Arial" w:hAnsi="Arial" w:cs="Arial"/>
          <w:sz w:val="24"/>
          <w:szCs w:val="24"/>
        </w:rPr>
      </w:pPr>
      <w:r w:rsidRPr="00B72670">
        <w:rPr>
          <w:rFonts w:ascii="Arial" w:hAnsi="Arial" w:cs="Arial"/>
          <w:sz w:val="24"/>
          <w:szCs w:val="24"/>
        </w:rPr>
        <w:t>HENAAC’s College Bowl</w:t>
      </w:r>
    </w:p>
    <w:p w:rsidR="00CA3653" w:rsidRPr="00B72670" w:rsidRDefault="00CA3653" w:rsidP="001F6922">
      <w:pPr>
        <w:pStyle w:val="Body"/>
        <w:numPr>
          <w:ilvl w:val="0"/>
          <w:numId w:val="14"/>
        </w:numPr>
        <w:spacing w:before="120" w:after="60"/>
        <w:rPr>
          <w:rFonts w:ascii="Arial" w:hAnsi="Arial" w:cs="Arial"/>
          <w:sz w:val="24"/>
          <w:szCs w:val="24"/>
        </w:rPr>
      </w:pPr>
      <w:r w:rsidRPr="00B72670">
        <w:rPr>
          <w:rFonts w:ascii="Arial" w:hAnsi="Arial" w:cs="Arial"/>
          <w:sz w:val="24"/>
          <w:szCs w:val="24"/>
        </w:rPr>
        <w:t>E-Week</w:t>
      </w:r>
      <w:r>
        <w:rPr>
          <w:rFonts w:ascii="Arial" w:hAnsi="Arial" w:cs="Arial"/>
          <w:sz w:val="24"/>
          <w:szCs w:val="24"/>
        </w:rPr>
        <w:t xml:space="preserve"> </w:t>
      </w:r>
    </w:p>
    <w:p w:rsidR="00CA3653" w:rsidRPr="00B72670" w:rsidRDefault="00CA3653" w:rsidP="001F6922">
      <w:pPr>
        <w:pStyle w:val="Body"/>
        <w:numPr>
          <w:ilvl w:val="0"/>
          <w:numId w:val="14"/>
        </w:numPr>
        <w:spacing w:before="120" w:after="60"/>
        <w:rPr>
          <w:rFonts w:ascii="Arial" w:hAnsi="Arial" w:cs="Arial"/>
          <w:sz w:val="24"/>
          <w:szCs w:val="24"/>
        </w:rPr>
      </w:pPr>
      <w:r w:rsidRPr="00B72670">
        <w:rPr>
          <w:rFonts w:ascii="Arial" w:hAnsi="Arial" w:cs="Arial"/>
          <w:sz w:val="24"/>
          <w:szCs w:val="24"/>
        </w:rPr>
        <w:t>Presentations at Colleges/Universities</w:t>
      </w:r>
    </w:p>
    <w:p w:rsidR="00CA3653" w:rsidRPr="00B72670" w:rsidRDefault="00CA3653" w:rsidP="001F6922">
      <w:pPr>
        <w:pStyle w:val="Body"/>
        <w:numPr>
          <w:ilvl w:val="0"/>
          <w:numId w:val="14"/>
        </w:numPr>
        <w:spacing w:before="120" w:after="60"/>
        <w:rPr>
          <w:rFonts w:ascii="Arial" w:hAnsi="Arial" w:cs="Arial"/>
          <w:sz w:val="24"/>
          <w:szCs w:val="24"/>
        </w:rPr>
      </w:pPr>
      <w:r w:rsidRPr="00B72670">
        <w:rPr>
          <w:rFonts w:ascii="Arial" w:hAnsi="Arial" w:cs="Arial"/>
          <w:sz w:val="24"/>
          <w:szCs w:val="24"/>
        </w:rPr>
        <w:t>Mentoring programs</w:t>
      </w:r>
    </w:p>
    <w:p w:rsidR="00CA3653" w:rsidRPr="00B72670" w:rsidRDefault="00CA3653" w:rsidP="001F6922">
      <w:pPr>
        <w:pStyle w:val="Body"/>
        <w:numPr>
          <w:ilvl w:val="0"/>
          <w:numId w:val="14"/>
        </w:numPr>
        <w:spacing w:before="120" w:after="60"/>
        <w:rPr>
          <w:rFonts w:ascii="Arial" w:hAnsi="Arial" w:cs="Arial"/>
          <w:sz w:val="24"/>
          <w:szCs w:val="24"/>
        </w:rPr>
      </w:pPr>
      <w:r w:rsidRPr="00B72670">
        <w:rPr>
          <w:rFonts w:ascii="Arial" w:hAnsi="Arial" w:cs="Arial"/>
          <w:sz w:val="24"/>
          <w:szCs w:val="24"/>
        </w:rPr>
        <w:t>Nomination of employees to conferences</w:t>
      </w:r>
    </w:p>
    <w:p w:rsidR="00CA3653" w:rsidRPr="00B72670" w:rsidRDefault="00CA3653" w:rsidP="00CA3653">
      <w:pPr>
        <w:pStyle w:val="Body"/>
        <w:spacing w:before="120" w:after="60"/>
        <w:ind w:left="0"/>
        <w:rPr>
          <w:rFonts w:ascii="Arial" w:hAnsi="Arial" w:cs="Arial"/>
          <w:color w:val="333333"/>
          <w:sz w:val="24"/>
          <w:szCs w:val="24"/>
        </w:rPr>
      </w:pPr>
    </w:p>
    <w:p w:rsidR="00191719" w:rsidRDefault="00CA3653" w:rsidP="00CA3653">
      <w:pPr>
        <w:pStyle w:val="Body"/>
        <w:spacing w:before="120" w:after="60"/>
        <w:ind w:left="0"/>
        <w:rPr>
          <w:rFonts w:ascii="Arial" w:hAnsi="Arial" w:cs="Arial"/>
          <w:sz w:val="24"/>
          <w:szCs w:val="24"/>
        </w:rPr>
      </w:pPr>
      <w:r w:rsidRPr="00B72670">
        <w:rPr>
          <w:rFonts w:ascii="Arial" w:hAnsi="Arial" w:cs="Arial"/>
          <w:color w:val="333333"/>
          <w:sz w:val="24"/>
          <w:szCs w:val="24"/>
        </w:rPr>
        <w:t>Community Education and Outreach</w:t>
      </w:r>
      <w:r w:rsidRPr="00B72670">
        <w:rPr>
          <w:rFonts w:ascii="Arial" w:hAnsi="Arial" w:cs="Arial"/>
          <w:sz w:val="24"/>
          <w:szCs w:val="24"/>
        </w:rPr>
        <w:t xml:space="preserve"> </w:t>
      </w:r>
    </w:p>
    <w:p w:rsidR="002D2DDB" w:rsidRDefault="00CA3653">
      <w:pPr>
        <w:pStyle w:val="Body"/>
        <w:numPr>
          <w:ilvl w:val="0"/>
          <w:numId w:val="33"/>
        </w:numPr>
        <w:spacing w:before="120" w:after="60"/>
        <w:rPr>
          <w:rFonts w:ascii="Arial" w:hAnsi="Arial" w:cs="Arial"/>
          <w:sz w:val="24"/>
          <w:szCs w:val="24"/>
        </w:rPr>
      </w:pPr>
      <w:r>
        <w:rPr>
          <w:rFonts w:ascii="Arial" w:hAnsi="Arial" w:cs="Arial"/>
          <w:sz w:val="24"/>
          <w:szCs w:val="24"/>
        </w:rPr>
        <w:lastRenderedPageBreak/>
        <w:t>Hispanic Youth Symposium (Hispanic College Fund)</w:t>
      </w:r>
    </w:p>
    <w:p w:rsidR="00520C6E" w:rsidRDefault="00520C6E" w:rsidP="001F6922">
      <w:pPr>
        <w:pStyle w:val="Body"/>
        <w:numPr>
          <w:ilvl w:val="0"/>
          <w:numId w:val="11"/>
        </w:numPr>
        <w:spacing w:before="120" w:after="60"/>
        <w:rPr>
          <w:rFonts w:ascii="Arial" w:hAnsi="Arial" w:cs="Arial"/>
          <w:sz w:val="24"/>
          <w:szCs w:val="24"/>
        </w:rPr>
      </w:pPr>
      <w:r>
        <w:rPr>
          <w:rFonts w:ascii="Arial" w:hAnsi="Arial" w:cs="Arial"/>
          <w:sz w:val="24"/>
          <w:szCs w:val="24"/>
        </w:rPr>
        <w:t>VIVA Technology</w:t>
      </w:r>
    </w:p>
    <w:p w:rsidR="00CA3653" w:rsidRDefault="008A15DB" w:rsidP="001F6922">
      <w:pPr>
        <w:pStyle w:val="Body"/>
        <w:numPr>
          <w:ilvl w:val="0"/>
          <w:numId w:val="11"/>
        </w:numPr>
        <w:spacing w:before="120" w:after="60"/>
        <w:rPr>
          <w:rFonts w:ascii="Arial" w:hAnsi="Arial" w:cs="Arial"/>
          <w:sz w:val="24"/>
          <w:szCs w:val="24"/>
        </w:rPr>
      </w:pPr>
      <w:r>
        <w:rPr>
          <w:rFonts w:ascii="Arial" w:hAnsi="Arial" w:cs="Arial"/>
          <w:sz w:val="24"/>
          <w:szCs w:val="24"/>
        </w:rPr>
        <w:t>National Engineers Week (“</w:t>
      </w:r>
      <w:r w:rsidR="00CA3653">
        <w:rPr>
          <w:rFonts w:ascii="Arial" w:hAnsi="Arial" w:cs="Arial"/>
          <w:sz w:val="24"/>
          <w:szCs w:val="24"/>
        </w:rPr>
        <w:t>E-Week</w:t>
      </w:r>
      <w:r>
        <w:rPr>
          <w:rFonts w:ascii="Arial" w:hAnsi="Arial" w:cs="Arial"/>
          <w:sz w:val="24"/>
          <w:szCs w:val="24"/>
        </w:rPr>
        <w:t>”)</w:t>
      </w:r>
    </w:p>
    <w:p w:rsidR="00CA3653" w:rsidRPr="00C2203A" w:rsidRDefault="00CA3653" w:rsidP="001F6922">
      <w:pPr>
        <w:pStyle w:val="Body"/>
        <w:numPr>
          <w:ilvl w:val="0"/>
          <w:numId w:val="11"/>
        </w:numPr>
        <w:spacing w:before="120" w:after="60"/>
        <w:rPr>
          <w:rFonts w:ascii="Arial" w:hAnsi="Arial" w:cs="Arial"/>
          <w:sz w:val="24"/>
          <w:szCs w:val="24"/>
        </w:rPr>
      </w:pPr>
      <w:r w:rsidRPr="00C2203A">
        <w:rPr>
          <w:rFonts w:ascii="Arial" w:hAnsi="Arial" w:cs="Arial"/>
          <w:sz w:val="24"/>
          <w:szCs w:val="24"/>
        </w:rPr>
        <w:t>Discover Engineering</w:t>
      </w:r>
    </w:p>
    <w:p w:rsidR="00CA3653" w:rsidRPr="00B72670" w:rsidRDefault="00CA3653" w:rsidP="001F6922">
      <w:pPr>
        <w:pStyle w:val="Body"/>
        <w:numPr>
          <w:ilvl w:val="0"/>
          <w:numId w:val="11"/>
        </w:numPr>
        <w:spacing w:before="120" w:after="60"/>
        <w:rPr>
          <w:rFonts w:ascii="Arial" w:hAnsi="Arial" w:cs="Arial"/>
          <w:sz w:val="24"/>
          <w:szCs w:val="24"/>
        </w:rPr>
      </w:pPr>
      <w:r w:rsidRPr="00B72670">
        <w:rPr>
          <w:rFonts w:ascii="Arial" w:hAnsi="Arial" w:cs="Arial"/>
          <w:sz w:val="24"/>
          <w:szCs w:val="24"/>
        </w:rPr>
        <w:t>K-12 Educational STEM Programs</w:t>
      </w:r>
    </w:p>
    <w:p w:rsidR="00CA3653" w:rsidRDefault="00CA3653" w:rsidP="001F6922">
      <w:pPr>
        <w:pStyle w:val="Body"/>
        <w:numPr>
          <w:ilvl w:val="0"/>
          <w:numId w:val="11"/>
        </w:numPr>
        <w:spacing w:before="120" w:after="60"/>
        <w:rPr>
          <w:rFonts w:ascii="Arial" w:hAnsi="Arial" w:cs="Arial"/>
          <w:sz w:val="24"/>
          <w:szCs w:val="24"/>
        </w:rPr>
      </w:pPr>
      <w:r w:rsidRPr="00B72670">
        <w:rPr>
          <w:rFonts w:ascii="Arial" w:hAnsi="Arial" w:cs="Arial"/>
          <w:sz w:val="24"/>
          <w:szCs w:val="24"/>
        </w:rPr>
        <w:t>Habitat for Humanity</w:t>
      </w:r>
    </w:p>
    <w:p w:rsidR="00CA3653" w:rsidRDefault="00CA3653" w:rsidP="001F6922">
      <w:pPr>
        <w:pStyle w:val="Body"/>
        <w:numPr>
          <w:ilvl w:val="0"/>
          <w:numId w:val="11"/>
        </w:numPr>
        <w:spacing w:before="120" w:after="60"/>
        <w:rPr>
          <w:rFonts w:ascii="Arial" w:hAnsi="Arial" w:cs="Arial"/>
          <w:sz w:val="24"/>
          <w:szCs w:val="24"/>
        </w:rPr>
      </w:pPr>
      <w:r>
        <w:rPr>
          <w:rFonts w:ascii="Arial" w:hAnsi="Arial" w:cs="Arial"/>
          <w:sz w:val="24"/>
          <w:szCs w:val="24"/>
        </w:rPr>
        <w:t>Toys for TOTS</w:t>
      </w:r>
    </w:p>
    <w:p w:rsidR="00CA3653" w:rsidRDefault="00CA3653" w:rsidP="001F6922">
      <w:pPr>
        <w:pStyle w:val="Body"/>
        <w:numPr>
          <w:ilvl w:val="0"/>
          <w:numId w:val="11"/>
        </w:numPr>
        <w:spacing w:before="120" w:after="60"/>
        <w:rPr>
          <w:rFonts w:ascii="Arial" w:hAnsi="Arial" w:cs="Arial"/>
          <w:sz w:val="24"/>
          <w:szCs w:val="24"/>
        </w:rPr>
      </w:pPr>
      <w:r>
        <w:rPr>
          <w:rFonts w:ascii="Arial" w:hAnsi="Arial" w:cs="Arial"/>
          <w:sz w:val="24"/>
          <w:szCs w:val="24"/>
        </w:rPr>
        <w:t>Back to School drive</w:t>
      </w:r>
    </w:p>
    <w:p w:rsidR="00CA3653" w:rsidRPr="0038717B" w:rsidRDefault="00CA3653" w:rsidP="001F6922">
      <w:pPr>
        <w:pStyle w:val="Body"/>
        <w:numPr>
          <w:ilvl w:val="0"/>
          <w:numId w:val="11"/>
        </w:numPr>
        <w:spacing w:before="120" w:after="60"/>
        <w:rPr>
          <w:rFonts w:ascii="Arial" w:hAnsi="Arial" w:cs="Arial"/>
          <w:sz w:val="24"/>
          <w:szCs w:val="24"/>
        </w:rPr>
      </w:pPr>
      <w:r>
        <w:rPr>
          <w:rFonts w:ascii="Arial" w:hAnsi="Arial" w:cs="Arial"/>
          <w:sz w:val="24"/>
          <w:szCs w:val="24"/>
        </w:rPr>
        <w:t>One-On-One Tutoring sessions with students</w:t>
      </w:r>
    </w:p>
    <w:p w:rsidR="00CA3653" w:rsidRPr="00B72670" w:rsidRDefault="00CA3653" w:rsidP="00CA3653">
      <w:pPr>
        <w:spacing w:before="100" w:beforeAutospacing="1"/>
        <w:rPr>
          <w:rFonts w:ascii="Arial" w:hAnsi="Arial" w:cs="Arial"/>
          <w:color w:val="333333"/>
        </w:rPr>
      </w:pPr>
      <w:r w:rsidRPr="00B72670">
        <w:rPr>
          <w:rFonts w:ascii="Arial" w:hAnsi="Arial" w:cs="Arial"/>
          <w:color w:val="333333"/>
        </w:rPr>
        <w:t>Sustainment/Member Involvement</w:t>
      </w:r>
    </w:p>
    <w:p w:rsidR="000B215F" w:rsidRDefault="00CA3653">
      <w:pPr>
        <w:numPr>
          <w:ilvl w:val="0"/>
          <w:numId w:val="15"/>
        </w:numPr>
        <w:spacing w:before="120" w:after="60"/>
        <w:rPr>
          <w:rFonts w:ascii="Arial" w:hAnsi="Arial" w:cs="Arial"/>
          <w:color w:val="333333"/>
        </w:rPr>
      </w:pPr>
      <w:r w:rsidRPr="00B72670">
        <w:rPr>
          <w:rFonts w:ascii="Arial" w:hAnsi="Arial" w:cs="Arial"/>
          <w:color w:val="333333"/>
        </w:rPr>
        <w:t>Cinco De Mayo Festivities</w:t>
      </w:r>
    </w:p>
    <w:p w:rsidR="000B215F" w:rsidRDefault="00CA3653">
      <w:pPr>
        <w:numPr>
          <w:ilvl w:val="0"/>
          <w:numId w:val="15"/>
        </w:numPr>
        <w:spacing w:before="120" w:after="60"/>
        <w:rPr>
          <w:rFonts w:ascii="Arial" w:hAnsi="Arial" w:cs="Arial"/>
          <w:color w:val="333333"/>
        </w:rPr>
      </w:pPr>
      <w:r w:rsidRPr="00B72670">
        <w:rPr>
          <w:rFonts w:ascii="Arial" w:hAnsi="Arial" w:cs="Arial"/>
          <w:color w:val="333333"/>
        </w:rPr>
        <w:t>Hispanic Heritage Month Celebrations</w:t>
      </w:r>
    </w:p>
    <w:p w:rsidR="000B215F" w:rsidRDefault="00CA3653">
      <w:pPr>
        <w:numPr>
          <w:ilvl w:val="0"/>
          <w:numId w:val="15"/>
        </w:numPr>
        <w:spacing w:before="120" w:after="60"/>
        <w:rPr>
          <w:rFonts w:ascii="Arial" w:hAnsi="Arial" w:cs="Arial"/>
          <w:color w:val="333333"/>
        </w:rPr>
      </w:pPr>
      <w:r w:rsidRPr="009C4090">
        <w:rPr>
          <w:rFonts w:ascii="Arial" w:hAnsi="Arial" w:cs="Arial"/>
          <w:color w:val="333333"/>
        </w:rPr>
        <w:t>End Of the Year Events</w:t>
      </w:r>
    </w:p>
    <w:p w:rsidR="0027046A" w:rsidRDefault="0027046A">
      <w:pPr>
        <w:spacing w:before="100" w:beforeAutospacing="1"/>
        <w:rPr>
          <w:rFonts w:ascii="Arial" w:hAnsi="Arial" w:cs="Arial"/>
          <w:color w:val="333333"/>
        </w:rPr>
      </w:pPr>
    </w:p>
    <w:p w:rsidR="0027046A" w:rsidRDefault="0027046A">
      <w:pPr>
        <w:spacing w:before="100" w:beforeAutospacing="1"/>
        <w:rPr>
          <w:rFonts w:ascii="Arial" w:hAnsi="Arial" w:cs="Arial"/>
          <w:color w:val="333333"/>
        </w:rPr>
      </w:pPr>
    </w:p>
    <w:p w:rsidR="0027046A" w:rsidRDefault="0027046A">
      <w:pPr>
        <w:spacing w:before="100" w:beforeAutospacing="1"/>
        <w:rPr>
          <w:rFonts w:ascii="Arial" w:hAnsi="Arial" w:cs="Arial"/>
          <w:color w:val="333333"/>
        </w:rPr>
      </w:pPr>
    </w:p>
    <w:p w:rsidR="0027046A" w:rsidRDefault="0027046A">
      <w:pPr>
        <w:spacing w:before="100" w:beforeAutospacing="1"/>
        <w:rPr>
          <w:rFonts w:ascii="Arial" w:hAnsi="Arial" w:cs="Arial"/>
          <w:color w:val="333333"/>
        </w:rPr>
      </w:pPr>
    </w:p>
    <w:p w:rsidR="0027046A" w:rsidRDefault="0027046A">
      <w:pPr>
        <w:spacing w:before="100" w:beforeAutospacing="1"/>
        <w:rPr>
          <w:rFonts w:ascii="Arial" w:hAnsi="Arial" w:cs="Arial"/>
          <w:color w:val="333333"/>
        </w:rPr>
      </w:pPr>
    </w:p>
    <w:p w:rsidR="0027046A" w:rsidRDefault="0027046A">
      <w:pPr>
        <w:spacing w:before="100" w:beforeAutospacing="1"/>
        <w:rPr>
          <w:rFonts w:ascii="Arial" w:hAnsi="Arial" w:cs="Arial"/>
          <w:color w:val="333333"/>
        </w:rPr>
      </w:pPr>
    </w:p>
    <w:p w:rsidR="0027046A" w:rsidRDefault="0027046A">
      <w:pPr>
        <w:spacing w:before="100" w:beforeAutospacing="1"/>
        <w:rPr>
          <w:rFonts w:ascii="Arial" w:hAnsi="Arial" w:cs="Arial"/>
          <w:color w:val="333333"/>
        </w:rPr>
      </w:pPr>
    </w:p>
    <w:p w:rsidR="0027046A" w:rsidRDefault="0027046A">
      <w:pPr>
        <w:spacing w:before="100" w:beforeAutospacing="1"/>
        <w:rPr>
          <w:rFonts w:ascii="Arial" w:hAnsi="Arial" w:cs="Arial"/>
          <w:color w:val="333333"/>
        </w:rPr>
      </w:pPr>
    </w:p>
    <w:p w:rsidR="0027046A" w:rsidRDefault="0027046A">
      <w:pPr>
        <w:spacing w:before="100" w:beforeAutospacing="1"/>
        <w:rPr>
          <w:rFonts w:ascii="Arial" w:hAnsi="Arial" w:cs="Arial"/>
          <w:color w:val="333333"/>
        </w:rPr>
      </w:pPr>
    </w:p>
    <w:p w:rsidR="0027046A" w:rsidRDefault="0027046A">
      <w:pPr>
        <w:spacing w:before="100" w:beforeAutospacing="1"/>
        <w:rPr>
          <w:rFonts w:ascii="Arial" w:hAnsi="Arial" w:cs="Arial"/>
          <w:color w:val="333333"/>
        </w:rPr>
      </w:pPr>
    </w:p>
    <w:p w:rsidR="0027046A" w:rsidRDefault="0027046A">
      <w:pPr>
        <w:spacing w:before="100" w:beforeAutospacing="1"/>
        <w:rPr>
          <w:rFonts w:ascii="Arial" w:hAnsi="Arial" w:cs="Arial"/>
          <w:color w:val="333333"/>
        </w:rPr>
      </w:pPr>
    </w:p>
    <w:p w:rsidR="0027046A" w:rsidRDefault="0027046A">
      <w:pPr>
        <w:spacing w:before="100" w:beforeAutospacing="1"/>
        <w:rPr>
          <w:rFonts w:ascii="Arial" w:hAnsi="Arial" w:cs="Arial"/>
          <w:color w:val="333333"/>
        </w:rPr>
      </w:pPr>
    </w:p>
    <w:p w:rsidR="00E060C5" w:rsidRDefault="00E060C5">
      <w:pPr>
        <w:spacing w:before="100" w:beforeAutospacing="1"/>
        <w:rPr>
          <w:rFonts w:ascii="Arial" w:hAnsi="Arial" w:cs="Arial"/>
          <w:color w:val="333333"/>
        </w:rPr>
      </w:pPr>
    </w:p>
    <w:p w:rsidR="0027046A" w:rsidRDefault="00CA4135">
      <w:pPr>
        <w:spacing w:before="100" w:beforeAutospacing="1"/>
        <w:rPr>
          <w:rFonts w:ascii="Arial" w:hAnsi="Arial" w:cs="Arial"/>
          <w:color w:val="333333"/>
        </w:rPr>
      </w:pPr>
      <w:r>
        <w:rPr>
          <w:rFonts w:ascii="Arial" w:hAnsi="Arial" w:cs="Arial"/>
          <w:color w:val="333333"/>
        </w:rPr>
        <w:lastRenderedPageBreak/>
        <w:t>References</w:t>
      </w:r>
    </w:p>
    <w:p w:rsidR="0027046A" w:rsidRDefault="000103EA">
      <w:pPr>
        <w:pStyle w:val="ListParagraph"/>
        <w:numPr>
          <w:ilvl w:val="0"/>
          <w:numId w:val="32"/>
        </w:numPr>
        <w:spacing w:before="100" w:beforeAutospacing="1"/>
        <w:rPr>
          <w:rFonts w:ascii="Arial" w:hAnsi="Arial" w:cs="Arial"/>
          <w:color w:val="333333"/>
        </w:rPr>
      </w:pPr>
      <w:r w:rsidRPr="000103EA">
        <w:rPr>
          <w:b/>
        </w:rPr>
        <w:t>Procedures</w:t>
      </w:r>
    </w:p>
    <w:p w:rsidR="0027046A" w:rsidRDefault="00CA4135">
      <w:pPr>
        <w:pStyle w:val="ListParagraph"/>
        <w:numPr>
          <w:ilvl w:val="1"/>
          <w:numId w:val="32"/>
        </w:numPr>
        <w:spacing w:before="100" w:beforeAutospacing="1"/>
        <w:rPr>
          <w:rFonts w:ascii="Arial" w:hAnsi="Arial" w:cs="Arial"/>
          <w:color w:val="333333"/>
        </w:rPr>
      </w:pPr>
      <w:r>
        <w:rPr>
          <w:rFonts w:ascii="Arial" w:hAnsi="Arial" w:cs="Arial"/>
          <w:color w:val="333333"/>
        </w:rPr>
        <w:t xml:space="preserve">CO No H114, Employee Resource Group </w:t>
      </w:r>
    </w:p>
    <w:p w:rsidR="0027046A" w:rsidRDefault="00A92D32">
      <w:pPr>
        <w:pStyle w:val="ListParagraph"/>
        <w:numPr>
          <w:ilvl w:val="1"/>
          <w:numId w:val="32"/>
        </w:numPr>
        <w:spacing w:before="100" w:beforeAutospacing="1"/>
        <w:rPr>
          <w:rFonts w:ascii="Arial" w:hAnsi="Arial" w:cs="Arial"/>
          <w:color w:val="333333"/>
        </w:rPr>
      </w:pPr>
      <w:hyperlink r:id="rId24" w:history="1">
        <w:r w:rsidR="00CA4135">
          <w:rPr>
            <w:rStyle w:val="Hyperlink"/>
            <w:u w:val="none"/>
          </w:rPr>
          <w:t>CO No. H4</w:t>
        </w:r>
        <w:r w:rsidR="00CA4135" w:rsidRPr="00CA4135">
          <w:rPr>
            <w:rStyle w:val="Hyperlink"/>
            <w:u w:val="none"/>
          </w:rPr>
          <w:t>03</w:t>
        </w:r>
      </w:hyperlink>
      <w:r w:rsidR="00CA4135" w:rsidRPr="00CA4135">
        <w:t xml:space="preserve">, </w:t>
      </w:r>
      <w:r w:rsidR="00CA4135">
        <w:t>Privacy of Employee Information</w:t>
      </w:r>
    </w:p>
    <w:p w:rsidR="0027046A" w:rsidRDefault="00CA4135">
      <w:pPr>
        <w:pStyle w:val="ListParagraph"/>
        <w:numPr>
          <w:ilvl w:val="1"/>
          <w:numId w:val="32"/>
        </w:numPr>
        <w:spacing w:before="100" w:beforeAutospacing="1"/>
        <w:rPr>
          <w:rFonts w:ascii="Arial" w:hAnsi="Arial" w:cs="Arial"/>
          <w:color w:val="333333"/>
        </w:rPr>
      </w:pPr>
      <w:r>
        <w:t>CO No. J103, Protection of information</w:t>
      </w:r>
    </w:p>
    <w:p w:rsidR="0027046A" w:rsidRDefault="0027046A">
      <w:pPr>
        <w:pStyle w:val="ListParagraph"/>
        <w:spacing w:before="100" w:beforeAutospacing="1"/>
        <w:ind w:left="1440"/>
        <w:rPr>
          <w:rFonts w:ascii="Arial" w:hAnsi="Arial" w:cs="Arial"/>
          <w:color w:val="333333"/>
        </w:rPr>
      </w:pPr>
    </w:p>
    <w:tbl>
      <w:tblPr>
        <w:tblW w:w="9434" w:type="dxa"/>
        <w:tblLayout w:type="fixed"/>
        <w:tblLook w:val="0000" w:firstRow="0" w:lastRow="0" w:firstColumn="0" w:lastColumn="0" w:noHBand="0" w:noVBand="0"/>
      </w:tblPr>
      <w:tblGrid>
        <w:gridCol w:w="1638"/>
        <w:gridCol w:w="7560"/>
        <w:gridCol w:w="236"/>
      </w:tblGrid>
      <w:tr w:rsidR="00CA4135" w:rsidRPr="00CA4135" w:rsidTr="00CA4135">
        <w:trPr>
          <w:cantSplit/>
        </w:trPr>
        <w:tc>
          <w:tcPr>
            <w:tcW w:w="1638" w:type="dxa"/>
          </w:tcPr>
          <w:p w:rsidR="00CA4135" w:rsidRPr="00CA4135" w:rsidRDefault="00CA4135" w:rsidP="00CA4135">
            <w:pPr>
              <w:pStyle w:val="BlockLabel"/>
            </w:pPr>
          </w:p>
        </w:tc>
        <w:tc>
          <w:tcPr>
            <w:tcW w:w="7796" w:type="dxa"/>
            <w:gridSpan w:val="2"/>
          </w:tcPr>
          <w:p w:rsidR="00CA4135" w:rsidRPr="00CA4135" w:rsidRDefault="00CA4135" w:rsidP="00CA4135">
            <w:pPr>
              <w:pStyle w:val="BlockText"/>
            </w:pPr>
          </w:p>
          <w:p w:rsidR="00CA4135" w:rsidRPr="00CA4135" w:rsidRDefault="00CA4135" w:rsidP="00CA4135">
            <w:pPr>
              <w:pStyle w:val="BlockText"/>
            </w:pPr>
          </w:p>
        </w:tc>
      </w:tr>
      <w:tr w:rsidR="00CA4135" w:rsidTr="00CA4135">
        <w:trPr>
          <w:gridAfter w:val="1"/>
          <w:wAfter w:w="236" w:type="dxa"/>
          <w:cantSplit/>
        </w:trPr>
        <w:tc>
          <w:tcPr>
            <w:tcW w:w="1638" w:type="dxa"/>
          </w:tcPr>
          <w:p w:rsidR="00CA4135" w:rsidRPr="00536A9E" w:rsidRDefault="00CA4135" w:rsidP="00CA4135">
            <w:pPr>
              <w:pStyle w:val="BlockLabel"/>
            </w:pPr>
            <w:bookmarkStart w:id="62" w:name="_Hlk185747163"/>
            <w:r w:rsidRPr="00536A9E">
              <w:t>Feedback</w:t>
            </w:r>
          </w:p>
        </w:tc>
        <w:tc>
          <w:tcPr>
            <w:tcW w:w="7560" w:type="dxa"/>
          </w:tcPr>
          <w:p w:rsidR="00CA4135" w:rsidRDefault="00CA4135" w:rsidP="00223F92">
            <w:pPr>
              <w:pStyle w:val="BlockText"/>
            </w:pPr>
            <w:r>
              <w:t xml:space="preserve">Have feedback or suggested change regarding this procedure or a form?  </w:t>
            </w:r>
            <w:r>
              <w:rPr>
                <w:color w:val="0000FF"/>
                <w:u w:val="single"/>
              </w:rPr>
              <w:t>Send to (Add One Adelante Mailbox</w:t>
            </w:r>
            <w:r w:rsidR="00E060C5">
              <w:rPr>
                <w:color w:val="0000FF"/>
                <w:u w:val="single"/>
              </w:rPr>
              <w:t xml:space="preserve"> goes here</w:t>
            </w:r>
            <w:r>
              <w:rPr>
                <w:color w:val="0000FF"/>
                <w:u w:val="single"/>
              </w:rPr>
              <w:t>)</w:t>
            </w:r>
          </w:p>
        </w:tc>
      </w:tr>
      <w:bookmarkEnd w:id="62"/>
    </w:tbl>
    <w:p w:rsidR="0027046A" w:rsidRDefault="0027046A">
      <w:pPr>
        <w:spacing w:before="100" w:beforeAutospacing="1"/>
        <w:rPr>
          <w:rFonts w:ascii="Arial" w:hAnsi="Arial" w:cs="Arial"/>
          <w:color w:val="333333"/>
        </w:rPr>
      </w:pPr>
    </w:p>
    <w:p w:rsidR="009C4090" w:rsidRPr="00B72670" w:rsidRDefault="009C4090" w:rsidP="00CA3653">
      <w:pPr>
        <w:keepNext/>
        <w:spacing w:before="240" w:beforeAutospacing="1" w:after="60"/>
        <w:ind w:left="720"/>
        <w:outlineLvl w:val="0"/>
        <w:rPr>
          <w:rFonts w:ascii="Arial" w:hAnsi="Arial" w:cs="Arial"/>
          <w:color w:val="333333"/>
        </w:rPr>
      </w:pPr>
    </w:p>
    <w:sectPr w:rsidR="009C4090" w:rsidRPr="00B72670" w:rsidSect="009C4090">
      <w:footerReference w:type="default" r:id="rId25"/>
      <w:pgSz w:w="12240" w:h="15840" w:code="257"/>
      <w:pgMar w:top="1440" w:right="1440" w:bottom="1440" w:left="1440" w:header="720" w:footer="720" w:gutter="0"/>
      <w:pgNumType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2D32" w:rsidRDefault="00A92D32">
      <w:r>
        <w:separator/>
      </w:r>
    </w:p>
  </w:endnote>
  <w:endnote w:type="continuationSeparator" w:id="0">
    <w:p w:rsidR="00A92D32" w:rsidRDefault="00A92D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entury">
    <w:panose1 w:val="0204060405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18D" w:rsidRDefault="00A92D32" w:rsidP="001F09A0">
    <w:pPr>
      <w:pStyle w:val="Footer"/>
      <w:jc w:val="center"/>
      <w:rPr>
        <w:rStyle w:val="PageNumber"/>
      </w:rPr>
    </w:pPr>
    <w:r>
      <w:rPr>
        <w:b/>
        <w:noProof/>
      </w:rPr>
      <w:pict>
        <v:line id="_x0000_s2049" style="position:absolute;left:0;text-align:left;z-index:251656192" from="0,5pt" to="477pt,5pt" strokecolor="navy" strokeweight="4.5pt">
          <v:stroke linestyle="thinThick"/>
        </v:line>
      </w:pict>
    </w:r>
  </w:p>
  <w:p w:rsidR="00CF118D" w:rsidRDefault="00210C24" w:rsidP="001F09A0">
    <w:pPr>
      <w:pStyle w:val="Footer"/>
      <w:jc w:val="center"/>
      <w:rPr>
        <w:rStyle w:val="PageNumber"/>
      </w:rPr>
    </w:pPr>
    <w:r>
      <w:rPr>
        <w:rStyle w:val="PageNumber"/>
      </w:rPr>
      <w:fldChar w:fldCharType="begin"/>
    </w:r>
    <w:r w:rsidR="00CF118D">
      <w:rPr>
        <w:rStyle w:val="PageNumber"/>
      </w:rPr>
      <w:instrText xml:space="preserve"> PAGE </w:instrText>
    </w:r>
    <w:r>
      <w:rPr>
        <w:rStyle w:val="PageNumber"/>
      </w:rPr>
      <w:fldChar w:fldCharType="separate"/>
    </w:r>
    <w:r w:rsidR="001A1D69">
      <w:rPr>
        <w:rStyle w:val="PageNumber"/>
        <w:noProof/>
      </w:rPr>
      <w:t>iii</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18D" w:rsidRDefault="00A92D32" w:rsidP="001F09A0">
    <w:pPr>
      <w:pStyle w:val="Footer"/>
      <w:jc w:val="center"/>
      <w:rPr>
        <w:rStyle w:val="PageNumber"/>
      </w:rPr>
    </w:pPr>
    <w:r>
      <w:rPr>
        <w:b/>
        <w:noProof/>
      </w:rPr>
      <w:pict>
        <v:line id="_x0000_s2051" style="position:absolute;left:0;text-align:left;z-index:251659264" from="0,5pt" to="477pt,5pt" strokecolor="navy" strokeweight="4.5pt">
          <v:stroke linestyle="thinThick"/>
        </v:line>
      </w:pict>
    </w:r>
  </w:p>
  <w:p w:rsidR="00CF118D" w:rsidRDefault="00210C24" w:rsidP="001F09A0">
    <w:pPr>
      <w:pStyle w:val="Footer"/>
      <w:jc w:val="center"/>
      <w:rPr>
        <w:rStyle w:val="PageNumber"/>
      </w:rPr>
    </w:pPr>
    <w:r>
      <w:rPr>
        <w:rStyle w:val="PageNumber"/>
      </w:rPr>
      <w:fldChar w:fldCharType="begin"/>
    </w:r>
    <w:r w:rsidR="00CF118D">
      <w:rPr>
        <w:rStyle w:val="PageNumber"/>
      </w:rPr>
      <w:instrText xml:space="preserve"> PAGE </w:instrText>
    </w:r>
    <w:r>
      <w:rPr>
        <w:rStyle w:val="PageNumber"/>
      </w:rPr>
      <w:fldChar w:fldCharType="separate"/>
    </w:r>
    <w:r w:rsidR="001A1D69">
      <w:rPr>
        <w:rStyle w:val="PageNumber"/>
        <w:noProof/>
      </w:rPr>
      <w:t>1</w:t>
    </w:r>
    <w:r>
      <w:rPr>
        <w:rStyle w:val="PageNumber"/>
      </w:rPr>
      <w:fldChar w:fldCharType="end"/>
    </w:r>
  </w:p>
  <w:p w:rsidR="00CF118D" w:rsidRDefault="00CF118D" w:rsidP="001F09A0">
    <w:pPr>
      <w:pStyle w:val="Footer"/>
      <w:jc w:val="center"/>
      <w:rPr>
        <w:rStyle w:val="PageNumber"/>
      </w:rPr>
    </w:pPr>
    <w:r>
      <w:rPr>
        <w:rStyle w:val="PageNumber"/>
      </w:rPr>
      <w:t>Northrop Grumman Proprietary</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18D" w:rsidRDefault="00A92D32" w:rsidP="001F09A0">
    <w:pPr>
      <w:pStyle w:val="Footer"/>
      <w:jc w:val="center"/>
      <w:rPr>
        <w:rStyle w:val="PageNumber"/>
      </w:rPr>
    </w:pPr>
    <w:r>
      <w:rPr>
        <w:b/>
        <w:noProof/>
      </w:rPr>
      <w:pict>
        <v:line id="_x0000_s2052" style="position:absolute;left:0;text-align:left;z-index:251657216" from="0,5pt" to="477pt,5pt" strokecolor="navy" strokeweight="4.5pt">
          <v:stroke linestyle="thinThick"/>
        </v:line>
      </w:pict>
    </w:r>
  </w:p>
  <w:p w:rsidR="00CF118D" w:rsidRDefault="00210C24" w:rsidP="001F09A0">
    <w:pPr>
      <w:pStyle w:val="Footer"/>
      <w:jc w:val="center"/>
      <w:rPr>
        <w:rStyle w:val="PageNumber"/>
      </w:rPr>
    </w:pPr>
    <w:r>
      <w:rPr>
        <w:rStyle w:val="PageNumber"/>
      </w:rPr>
      <w:fldChar w:fldCharType="begin"/>
    </w:r>
    <w:r w:rsidR="00CF118D">
      <w:rPr>
        <w:rStyle w:val="PageNumber"/>
      </w:rPr>
      <w:instrText xml:space="preserve"> PAGE </w:instrText>
    </w:r>
    <w:r>
      <w:rPr>
        <w:rStyle w:val="PageNumber"/>
      </w:rPr>
      <w:fldChar w:fldCharType="separate"/>
    </w:r>
    <w:r w:rsidR="001A1D69">
      <w:rPr>
        <w:rStyle w:val="PageNumber"/>
        <w:noProof/>
      </w:rPr>
      <w:t>19</w:t>
    </w:r>
    <w:r>
      <w:rPr>
        <w:rStyle w:val="PageNumber"/>
      </w:rPr>
      <w:fldChar w:fldCharType="end"/>
    </w:r>
  </w:p>
  <w:p w:rsidR="00CF118D" w:rsidRDefault="00CF118D" w:rsidP="001F09A0">
    <w:pPr>
      <w:pStyle w:val="Footer"/>
      <w:jc w:val="center"/>
      <w:rPr>
        <w:rStyle w:val="PageNumber"/>
      </w:rPr>
    </w:pPr>
    <w:r>
      <w:rPr>
        <w:rStyle w:val="PageNumber"/>
      </w:rPr>
      <w:t>Northrop Grumman Proprietary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2D32" w:rsidRDefault="00A92D32">
      <w:r>
        <w:separator/>
      </w:r>
    </w:p>
  </w:footnote>
  <w:footnote w:type="continuationSeparator" w:id="0">
    <w:p w:rsidR="00A92D32" w:rsidRDefault="00A92D3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71568FEA"/>
    <w:lvl w:ilvl="0">
      <w:start w:val="1"/>
      <w:numFmt w:val="decimal"/>
      <w:pStyle w:val="ListNumber"/>
      <w:lvlText w:val="%1."/>
      <w:lvlJc w:val="left"/>
      <w:pPr>
        <w:tabs>
          <w:tab w:val="num" w:pos="360"/>
        </w:tabs>
        <w:ind w:left="360" w:hanging="360"/>
      </w:pPr>
    </w:lvl>
  </w:abstractNum>
  <w:abstractNum w:abstractNumId="1">
    <w:nsid w:val="014319F7"/>
    <w:multiLevelType w:val="hybridMultilevel"/>
    <w:tmpl w:val="9B4EA7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3962A9"/>
    <w:multiLevelType w:val="hybridMultilevel"/>
    <w:tmpl w:val="4D3C86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1D1479"/>
    <w:multiLevelType w:val="multilevel"/>
    <w:tmpl w:val="BE0AF5C0"/>
    <w:lvl w:ilvl="0">
      <w:start w:val="1"/>
      <w:numFmt w:val="decimal"/>
      <w:suff w:val="nothing"/>
      <w:lvlText w:val="Chapter %1"/>
      <w:lvlJc w:val="left"/>
      <w:pPr>
        <w:ind w:left="0" w:firstLine="0"/>
      </w:pPr>
      <w:rPr>
        <w:rFonts w:ascii="Arial" w:hAnsi="Arial" w:hint="default"/>
        <w:b/>
        <w:i w:val="0"/>
        <w:sz w:val="52"/>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4">
    <w:nsid w:val="15D1177E"/>
    <w:multiLevelType w:val="singleLevel"/>
    <w:tmpl w:val="E5EAC396"/>
    <w:lvl w:ilvl="0">
      <w:start w:val="1"/>
      <w:numFmt w:val="bullet"/>
      <w:pStyle w:val="DSBullets"/>
      <w:lvlText w:val=""/>
      <w:lvlJc w:val="left"/>
      <w:pPr>
        <w:tabs>
          <w:tab w:val="num" w:pos="360"/>
        </w:tabs>
        <w:ind w:left="360" w:hanging="360"/>
      </w:pPr>
      <w:rPr>
        <w:rFonts w:ascii="Symbol" w:hAnsi="Symbol" w:hint="default"/>
      </w:rPr>
    </w:lvl>
  </w:abstractNum>
  <w:abstractNum w:abstractNumId="5">
    <w:nsid w:val="16C82CD7"/>
    <w:multiLevelType w:val="hybridMultilevel"/>
    <w:tmpl w:val="F3ACCD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9730906"/>
    <w:multiLevelType w:val="hybridMultilevel"/>
    <w:tmpl w:val="C0CAAC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B316D2"/>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B0C5897"/>
    <w:multiLevelType w:val="hybridMultilevel"/>
    <w:tmpl w:val="CA28F20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40F7DFD"/>
    <w:multiLevelType w:val="hybridMultilevel"/>
    <w:tmpl w:val="56E03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BDB2B11"/>
    <w:multiLevelType w:val="hybridMultilevel"/>
    <w:tmpl w:val="B694B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52502DA"/>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35CE625A"/>
    <w:multiLevelType w:val="hybridMultilevel"/>
    <w:tmpl w:val="A84C0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AD07A69"/>
    <w:multiLevelType w:val="hybridMultilevel"/>
    <w:tmpl w:val="0ED8C5E4"/>
    <w:lvl w:ilvl="0" w:tplc="1A1AC1E8">
      <w:start w:val="1"/>
      <w:numFmt w:val="bullet"/>
      <w:lvlText w:val="–"/>
      <w:lvlJc w:val="left"/>
      <w:pPr>
        <w:tabs>
          <w:tab w:val="num" w:pos="360"/>
        </w:tabs>
        <w:ind w:left="360" w:hanging="360"/>
      </w:pPr>
      <w:rPr>
        <w:rFonts w:ascii="Times New Roman" w:hAnsi="Times New Roman" w:hint="default"/>
      </w:rPr>
    </w:lvl>
    <w:lvl w:ilvl="1" w:tplc="98CC5322">
      <w:start w:val="1"/>
      <w:numFmt w:val="bullet"/>
      <w:lvlText w:val="–"/>
      <w:lvlJc w:val="left"/>
      <w:pPr>
        <w:tabs>
          <w:tab w:val="num" w:pos="1080"/>
        </w:tabs>
        <w:ind w:left="1080" w:hanging="360"/>
      </w:pPr>
      <w:rPr>
        <w:rFonts w:ascii="Times New Roman" w:hAnsi="Times New Roman" w:hint="default"/>
      </w:rPr>
    </w:lvl>
    <w:lvl w:ilvl="2" w:tplc="D61C975C">
      <w:start w:val="1218"/>
      <w:numFmt w:val="bullet"/>
      <w:lvlText w:val="•"/>
      <w:lvlJc w:val="left"/>
      <w:pPr>
        <w:tabs>
          <w:tab w:val="num" w:pos="1800"/>
        </w:tabs>
        <w:ind w:left="1800" w:hanging="360"/>
      </w:pPr>
      <w:rPr>
        <w:rFonts w:ascii="Times New Roman" w:hAnsi="Times New Roman" w:hint="default"/>
      </w:rPr>
    </w:lvl>
    <w:lvl w:ilvl="3" w:tplc="4836B7F4" w:tentative="1">
      <w:start w:val="1"/>
      <w:numFmt w:val="bullet"/>
      <w:lvlText w:val="–"/>
      <w:lvlJc w:val="left"/>
      <w:pPr>
        <w:tabs>
          <w:tab w:val="num" w:pos="2520"/>
        </w:tabs>
        <w:ind w:left="2520" w:hanging="360"/>
      </w:pPr>
      <w:rPr>
        <w:rFonts w:ascii="Times New Roman" w:hAnsi="Times New Roman" w:hint="default"/>
      </w:rPr>
    </w:lvl>
    <w:lvl w:ilvl="4" w:tplc="99DAD786" w:tentative="1">
      <w:start w:val="1"/>
      <w:numFmt w:val="bullet"/>
      <w:lvlText w:val="–"/>
      <w:lvlJc w:val="left"/>
      <w:pPr>
        <w:tabs>
          <w:tab w:val="num" w:pos="3240"/>
        </w:tabs>
        <w:ind w:left="3240" w:hanging="360"/>
      </w:pPr>
      <w:rPr>
        <w:rFonts w:ascii="Times New Roman" w:hAnsi="Times New Roman" w:hint="default"/>
      </w:rPr>
    </w:lvl>
    <w:lvl w:ilvl="5" w:tplc="D136B258" w:tentative="1">
      <w:start w:val="1"/>
      <w:numFmt w:val="bullet"/>
      <w:lvlText w:val="–"/>
      <w:lvlJc w:val="left"/>
      <w:pPr>
        <w:tabs>
          <w:tab w:val="num" w:pos="3960"/>
        </w:tabs>
        <w:ind w:left="3960" w:hanging="360"/>
      </w:pPr>
      <w:rPr>
        <w:rFonts w:ascii="Times New Roman" w:hAnsi="Times New Roman" w:hint="default"/>
      </w:rPr>
    </w:lvl>
    <w:lvl w:ilvl="6" w:tplc="70C491D0" w:tentative="1">
      <w:start w:val="1"/>
      <w:numFmt w:val="bullet"/>
      <w:lvlText w:val="–"/>
      <w:lvlJc w:val="left"/>
      <w:pPr>
        <w:tabs>
          <w:tab w:val="num" w:pos="4680"/>
        </w:tabs>
        <w:ind w:left="4680" w:hanging="360"/>
      </w:pPr>
      <w:rPr>
        <w:rFonts w:ascii="Times New Roman" w:hAnsi="Times New Roman" w:hint="default"/>
      </w:rPr>
    </w:lvl>
    <w:lvl w:ilvl="7" w:tplc="519C5EA8" w:tentative="1">
      <w:start w:val="1"/>
      <w:numFmt w:val="bullet"/>
      <w:lvlText w:val="–"/>
      <w:lvlJc w:val="left"/>
      <w:pPr>
        <w:tabs>
          <w:tab w:val="num" w:pos="5400"/>
        </w:tabs>
        <w:ind w:left="5400" w:hanging="360"/>
      </w:pPr>
      <w:rPr>
        <w:rFonts w:ascii="Times New Roman" w:hAnsi="Times New Roman" w:hint="default"/>
      </w:rPr>
    </w:lvl>
    <w:lvl w:ilvl="8" w:tplc="CD5E17AA" w:tentative="1">
      <w:start w:val="1"/>
      <w:numFmt w:val="bullet"/>
      <w:lvlText w:val="–"/>
      <w:lvlJc w:val="left"/>
      <w:pPr>
        <w:tabs>
          <w:tab w:val="num" w:pos="6120"/>
        </w:tabs>
        <w:ind w:left="6120" w:hanging="360"/>
      </w:pPr>
      <w:rPr>
        <w:rFonts w:ascii="Times New Roman" w:hAnsi="Times New Roman" w:hint="default"/>
      </w:rPr>
    </w:lvl>
  </w:abstractNum>
  <w:abstractNum w:abstractNumId="14">
    <w:nsid w:val="3DB756BF"/>
    <w:multiLevelType w:val="hybridMultilevel"/>
    <w:tmpl w:val="56D0D2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E655892"/>
    <w:multiLevelType w:val="hybridMultilevel"/>
    <w:tmpl w:val="4A24DF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19373EC"/>
    <w:multiLevelType w:val="hybridMultilevel"/>
    <w:tmpl w:val="116CA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6DA63ED"/>
    <w:multiLevelType w:val="hybridMultilevel"/>
    <w:tmpl w:val="699287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79E2D86"/>
    <w:multiLevelType w:val="hybridMultilevel"/>
    <w:tmpl w:val="60B6BC10"/>
    <w:lvl w:ilvl="0" w:tplc="04090001">
      <w:start w:val="1"/>
      <w:numFmt w:val="bullet"/>
      <w:lvlText w:val=""/>
      <w:lvlJc w:val="left"/>
      <w:pPr>
        <w:tabs>
          <w:tab w:val="num" w:pos="720"/>
        </w:tabs>
        <w:ind w:left="720" w:hanging="360"/>
      </w:pPr>
      <w:rPr>
        <w:rFonts w:ascii="Symbol" w:hAnsi="Symbol" w:hint="default"/>
      </w:rPr>
    </w:lvl>
    <w:lvl w:ilvl="1" w:tplc="D72E9B34">
      <w:start w:val="1407"/>
      <w:numFmt w:val="bullet"/>
      <w:lvlText w:val=""/>
      <w:lvlJc w:val="left"/>
      <w:pPr>
        <w:tabs>
          <w:tab w:val="num" w:pos="1440"/>
        </w:tabs>
        <w:ind w:left="1440" w:hanging="360"/>
      </w:pPr>
      <w:rPr>
        <w:rFonts w:ascii="Wingdings" w:hAnsi="Wingdings" w:hint="default"/>
      </w:rPr>
    </w:lvl>
    <w:lvl w:ilvl="2" w:tplc="B98A712A">
      <w:start w:val="1407"/>
      <w:numFmt w:val="bullet"/>
      <w:lvlText w:val="o"/>
      <w:lvlJc w:val="left"/>
      <w:pPr>
        <w:tabs>
          <w:tab w:val="num" w:pos="2160"/>
        </w:tabs>
        <w:ind w:left="2160" w:hanging="360"/>
      </w:pPr>
      <w:rPr>
        <w:rFonts w:ascii="Courier New" w:hAnsi="Courier New" w:cs="Times New Roman" w:hint="default"/>
      </w:rPr>
    </w:lvl>
    <w:lvl w:ilvl="3" w:tplc="FCAC0964">
      <w:start w:val="1"/>
      <w:numFmt w:val="decimal"/>
      <w:lvlText w:val="%4."/>
      <w:lvlJc w:val="left"/>
      <w:pPr>
        <w:tabs>
          <w:tab w:val="num" w:pos="2880"/>
        </w:tabs>
        <w:ind w:left="2880" w:hanging="360"/>
      </w:pPr>
    </w:lvl>
    <w:lvl w:ilvl="4" w:tplc="96FE0136">
      <w:start w:val="1"/>
      <w:numFmt w:val="decimal"/>
      <w:lvlText w:val="%5."/>
      <w:lvlJc w:val="left"/>
      <w:pPr>
        <w:tabs>
          <w:tab w:val="num" w:pos="3600"/>
        </w:tabs>
        <w:ind w:left="3600" w:hanging="360"/>
      </w:pPr>
    </w:lvl>
    <w:lvl w:ilvl="5" w:tplc="E2322796">
      <w:start w:val="1"/>
      <w:numFmt w:val="decimal"/>
      <w:lvlText w:val="%6."/>
      <w:lvlJc w:val="left"/>
      <w:pPr>
        <w:tabs>
          <w:tab w:val="num" w:pos="4320"/>
        </w:tabs>
        <w:ind w:left="4320" w:hanging="360"/>
      </w:pPr>
    </w:lvl>
    <w:lvl w:ilvl="6" w:tplc="069E257E">
      <w:start w:val="1"/>
      <w:numFmt w:val="decimal"/>
      <w:lvlText w:val="%7."/>
      <w:lvlJc w:val="left"/>
      <w:pPr>
        <w:tabs>
          <w:tab w:val="num" w:pos="5040"/>
        </w:tabs>
        <w:ind w:left="5040" w:hanging="360"/>
      </w:pPr>
    </w:lvl>
    <w:lvl w:ilvl="7" w:tplc="CA9A2D7C">
      <w:start w:val="1"/>
      <w:numFmt w:val="decimal"/>
      <w:lvlText w:val="%8."/>
      <w:lvlJc w:val="left"/>
      <w:pPr>
        <w:tabs>
          <w:tab w:val="num" w:pos="5760"/>
        </w:tabs>
        <w:ind w:left="5760" w:hanging="360"/>
      </w:pPr>
    </w:lvl>
    <w:lvl w:ilvl="8" w:tplc="49EA29EC">
      <w:start w:val="1"/>
      <w:numFmt w:val="decimal"/>
      <w:lvlText w:val="%9."/>
      <w:lvlJc w:val="left"/>
      <w:pPr>
        <w:tabs>
          <w:tab w:val="num" w:pos="6480"/>
        </w:tabs>
        <w:ind w:left="6480" w:hanging="360"/>
      </w:pPr>
    </w:lvl>
  </w:abstractNum>
  <w:abstractNum w:abstractNumId="19">
    <w:nsid w:val="47ED23CF"/>
    <w:multiLevelType w:val="hybridMultilevel"/>
    <w:tmpl w:val="328812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D4C2827"/>
    <w:multiLevelType w:val="hybridMultilevel"/>
    <w:tmpl w:val="2A266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F93112F"/>
    <w:multiLevelType w:val="hybridMultilevel"/>
    <w:tmpl w:val="D6D8AEEE"/>
    <w:lvl w:ilvl="0" w:tplc="5BC071A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45926B9"/>
    <w:multiLevelType w:val="singleLevel"/>
    <w:tmpl w:val="71E26D5A"/>
    <w:lvl w:ilvl="0">
      <w:start w:val="1"/>
      <w:numFmt w:val="bullet"/>
      <w:pStyle w:val="BulletList2"/>
      <w:lvlText w:val=""/>
      <w:lvlJc w:val="left"/>
      <w:pPr>
        <w:tabs>
          <w:tab w:val="num" w:pos="360"/>
        </w:tabs>
        <w:ind w:left="360" w:hanging="360"/>
      </w:pPr>
      <w:rPr>
        <w:rFonts w:ascii="Symbol" w:hAnsi="Symbol" w:hint="default"/>
        <w:sz w:val="28"/>
      </w:rPr>
    </w:lvl>
  </w:abstractNum>
  <w:abstractNum w:abstractNumId="23">
    <w:nsid w:val="561066F2"/>
    <w:multiLevelType w:val="singleLevel"/>
    <w:tmpl w:val="6A18AE04"/>
    <w:lvl w:ilvl="0">
      <w:start w:val="1"/>
      <w:numFmt w:val="bullet"/>
      <w:pStyle w:val="BulletList"/>
      <w:lvlText w:val=""/>
      <w:lvlJc w:val="left"/>
      <w:pPr>
        <w:tabs>
          <w:tab w:val="num" w:pos="360"/>
        </w:tabs>
        <w:ind w:left="360" w:hanging="360"/>
      </w:pPr>
      <w:rPr>
        <w:rFonts w:ascii="Symbol" w:hAnsi="Symbol" w:hint="default"/>
      </w:rPr>
    </w:lvl>
  </w:abstractNum>
  <w:abstractNum w:abstractNumId="24">
    <w:nsid w:val="5BAC205E"/>
    <w:multiLevelType w:val="hybridMultilevel"/>
    <w:tmpl w:val="C2387A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F4A5189"/>
    <w:multiLevelType w:val="hybridMultilevel"/>
    <w:tmpl w:val="7EEA6B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2CF5F66"/>
    <w:multiLevelType w:val="hybridMultilevel"/>
    <w:tmpl w:val="15C0E4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634209E"/>
    <w:multiLevelType w:val="hybridMultilevel"/>
    <w:tmpl w:val="0D06F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7FE37D8"/>
    <w:multiLevelType w:val="hybridMultilevel"/>
    <w:tmpl w:val="09B610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6DA6560A"/>
    <w:multiLevelType w:val="hybridMultilevel"/>
    <w:tmpl w:val="F2BEFE5E"/>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0">
    <w:nsid w:val="72143342"/>
    <w:multiLevelType w:val="singleLevel"/>
    <w:tmpl w:val="A2007B4A"/>
    <w:lvl w:ilvl="0">
      <w:start w:val="1"/>
      <w:numFmt w:val="bullet"/>
      <w:pStyle w:val="BulletList2Compact"/>
      <w:lvlText w:val=""/>
      <w:lvlJc w:val="left"/>
      <w:pPr>
        <w:tabs>
          <w:tab w:val="num" w:pos="360"/>
        </w:tabs>
        <w:ind w:left="360" w:hanging="360"/>
      </w:pPr>
      <w:rPr>
        <w:rFonts w:ascii="Symbol" w:hAnsi="Symbol" w:hint="default"/>
        <w:sz w:val="22"/>
      </w:rPr>
    </w:lvl>
  </w:abstractNum>
  <w:abstractNum w:abstractNumId="31">
    <w:nsid w:val="721A1E7C"/>
    <w:multiLevelType w:val="singleLevel"/>
    <w:tmpl w:val="579A169E"/>
    <w:lvl w:ilvl="0">
      <w:start w:val="1"/>
      <w:numFmt w:val="bullet"/>
      <w:pStyle w:val="BulletListCompact"/>
      <w:lvlText w:val=""/>
      <w:lvlJc w:val="left"/>
      <w:pPr>
        <w:tabs>
          <w:tab w:val="num" w:pos="360"/>
        </w:tabs>
        <w:ind w:left="360" w:hanging="360"/>
      </w:pPr>
      <w:rPr>
        <w:rFonts w:ascii="Symbol" w:hAnsi="Symbol" w:hint="default"/>
      </w:rPr>
    </w:lvl>
  </w:abstractNum>
  <w:abstractNum w:abstractNumId="32">
    <w:nsid w:val="77D57282"/>
    <w:multiLevelType w:val="hybridMultilevel"/>
    <w:tmpl w:val="7C88E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87B52B0"/>
    <w:multiLevelType w:val="multilevel"/>
    <w:tmpl w:val="37201FB2"/>
    <w:lvl w:ilvl="0">
      <w:start w:val="1"/>
      <w:numFmt w:val="decimal"/>
      <w:pStyle w:val="Paragraph1"/>
      <w:lvlText w:val="Section %1."/>
      <w:lvlJc w:val="left"/>
      <w:pPr>
        <w:tabs>
          <w:tab w:val="num" w:pos="1440"/>
        </w:tabs>
        <w:ind w:left="1440" w:hanging="1440"/>
      </w:pPr>
      <w:rPr>
        <w:b w:val="0"/>
      </w:rPr>
    </w:lvl>
    <w:lvl w:ilvl="1">
      <w:start w:val="1"/>
      <w:numFmt w:val="lowerLetter"/>
      <w:pStyle w:val="Paragraph2"/>
      <w:lvlText w:val="%2)"/>
      <w:lvlJc w:val="left"/>
      <w:pPr>
        <w:tabs>
          <w:tab w:val="num" w:pos="2160"/>
        </w:tabs>
        <w:ind w:left="2160" w:hanging="720"/>
      </w:pPr>
    </w:lvl>
    <w:lvl w:ilvl="2">
      <w:start w:val="1"/>
      <w:numFmt w:val="decimal"/>
      <w:pStyle w:val="Paragraph3"/>
      <w:lvlText w:val="%3."/>
      <w:lvlJc w:val="left"/>
      <w:pPr>
        <w:tabs>
          <w:tab w:val="num" w:pos="2880"/>
        </w:tabs>
        <w:ind w:left="2880" w:hanging="72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nsid w:val="7E5C662D"/>
    <w:multiLevelType w:val="hybridMultilevel"/>
    <w:tmpl w:val="4AC0313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23"/>
  </w:num>
  <w:num w:numId="2">
    <w:abstractNumId w:val="22"/>
  </w:num>
  <w:num w:numId="3">
    <w:abstractNumId w:val="30"/>
  </w:num>
  <w:num w:numId="4">
    <w:abstractNumId w:val="31"/>
  </w:num>
  <w:num w:numId="5">
    <w:abstractNumId w:val="3"/>
  </w:num>
  <w:num w:numId="6">
    <w:abstractNumId w:val="0"/>
  </w:num>
  <w:num w:numId="7">
    <w:abstractNumId w:val="4"/>
  </w:num>
  <w:num w:numId="8">
    <w:abstractNumId w:val="8"/>
  </w:num>
  <w:num w:numId="9">
    <w:abstractNumId w:val="19"/>
  </w:num>
  <w:num w:numId="10">
    <w:abstractNumId w:val="14"/>
  </w:num>
  <w:num w:numId="11">
    <w:abstractNumId w:val="24"/>
  </w:num>
  <w:num w:numId="12">
    <w:abstractNumId w:val="11"/>
  </w:num>
  <w:num w:numId="13">
    <w:abstractNumId w:val="1"/>
  </w:num>
  <w:num w:numId="14">
    <w:abstractNumId w:val="12"/>
  </w:num>
  <w:num w:numId="15">
    <w:abstractNumId w:val="32"/>
  </w:num>
  <w:num w:numId="16">
    <w:abstractNumId w:val="18"/>
  </w:num>
  <w:num w:numId="17">
    <w:abstractNumId w:val="2"/>
  </w:num>
  <w:num w:numId="1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num>
  <w:num w:numId="20">
    <w:abstractNumId w:val="5"/>
  </w:num>
  <w:num w:numId="21">
    <w:abstractNumId w:val="27"/>
  </w:num>
  <w:num w:numId="22">
    <w:abstractNumId w:val="17"/>
  </w:num>
  <w:num w:numId="23">
    <w:abstractNumId w:val="25"/>
  </w:num>
  <w:num w:numId="24">
    <w:abstractNumId w:val="9"/>
  </w:num>
  <w:num w:numId="25">
    <w:abstractNumId w:val="6"/>
  </w:num>
  <w:num w:numId="26">
    <w:abstractNumId w:val="34"/>
  </w:num>
  <w:num w:numId="27">
    <w:abstractNumId w:val="7"/>
  </w:num>
  <w:num w:numId="28">
    <w:abstractNumId w:val="10"/>
  </w:num>
  <w:num w:numId="29">
    <w:abstractNumId w:val="13"/>
  </w:num>
  <w:num w:numId="30">
    <w:abstractNumId w:val="26"/>
  </w:num>
  <w:num w:numId="31">
    <w:abstractNumId w:val="21"/>
  </w:num>
  <w:num w:numId="32">
    <w:abstractNumId w:val="15"/>
  </w:num>
  <w:num w:numId="33">
    <w:abstractNumId w:val="20"/>
  </w:num>
  <w:num w:numId="34">
    <w:abstractNumId w:val="16"/>
  </w:num>
  <w:num w:numId="35">
    <w:abstractNumId w:val="2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trackedChanges" w:formatting="1" w:enforcement="0"/>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9743A"/>
    <w:rsid w:val="00001159"/>
    <w:rsid w:val="00001704"/>
    <w:rsid w:val="00003AA4"/>
    <w:rsid w:val="0000644E"/>
    <w:rsid w:val="000103EA"/>
    <w:rsid w:val="00011FEC"/>
    <w:rsid w:val="00013CF3"/>
    <w:rsid w:val="00014E9A"/>
    <w:rsid w:val="00015BE7"/>
    <w:rsid w:val="0001758B"/>
    <w:rsid w:val="000202C0"/>
    <w:rsid w:val="0002324E"/>
    <w:rsid w:val="00023FFB"/>
    <w:rsid w:val="00024268"/>
    <w:rsid w:val="000242C7"/>
    <w:rsid w:val="00025033"/>
    <w:rsid w:val="00025870"/>
    <w:rsid w:val="00026FDD"/>
    <w:rsid w:val="00034C01"/>
    <w:rsid w:val="000359E6"/>
    <w:rsid w:val="000509ED"/>
    <w:rsid w:val="000549EE"/>
    <w:rsid w:val="00060C67"/>
    <w:rsid w:val="00063C8C"/>
    <w:rsid w:val="000716C6"/>
    <w:rsid w:val="00074EFA"/>
    <w:rsid w:val="000762E7"/>
    <w:rsid w:val="000772D3"/>
    <w:rsid w:val="00081DBE"/>
    <w:rsid w:val="0008795E"/>
    <w:rsid w:val="0009170D"/>
    <w:rsid w:val="00092F63"/>
    <w:rsid w:val="000973E7"/>
    <w:rsid w:val="000B215F"/>
    <w:rsid w:val="000B44F7"/>
    <w:rsid w:val="000B765C"/>
    <w:rsid w:val="000C2196"/>
    <w:rsid w:val="000D2CA7"/>
    <w:rsid w:val="000D7308"/>
    <w:rsid w:val="000E1E3A"/>
    <w:rsid w:val="000E332A"/>
    <w:rsid w:val="000E661B"/>
    <w:rsid w:val="000F1ACD"/>
    <w:rsid w:val="000F248C"/>
    <w:rsid w:val="000F4478"/>
    <w:rsid w:val="000F45D2"/>
    <w:rsid w:val="000F6DB9"/>
    <w:rsid w:val="00104065"/>
    <w:rsid w:val="001052F6"/>
    <w:rsid w:val="00112824"/>
    <w:rsid w:val="001238A8"/>
    <w:rsid w:val="0012512F"/>
    <w:rsid w:val="00131D41"/>
    <w:rsid w:val="0013462A"/>
    <w:rsid w:val="00135479"/>
    <w:rsid w:val="0013622B"/>
    <w:rsid w:val="00145660"/>
    <w:rsid w:val="001467D4"/>
    <w:rsid w:val="001469FA"/>
    <w:rsid w:val="00152374"/>
    <w:rsid w:val="001529EF"/>
    <w:rsid w:val="00154D27"/>
    <w:rsid w:val="00157C86"/>
    <w:rsid w:val="00164A19"/>
    <w:rsid w:val="00167483"/>
    <w:rsid w:val="001707D0"/>
    <w:rsid w:val="00173188"/>
    <w:rsid w:val="00174B3C"/>
    <w:rsid w:val="001911DA"/>
    <w:rsid w:val="00191719"/>
    <w:rsid w:val="0019582B"/>
    <w:rsid w:val="00195BEA"/>
    <w:rsid w:val="00195E79"/>
    <w:rsid w:val="0019743A"/>
    <w:rsid w:val="00197868"/>
    <w:rsid w:val="001A1D69"/>
    <w:rsid w:val="001A7D8B"/>
    <w:rsid w:val="001B0509"/>
    <w:rsid w:val="001B1085"/>
    <w:rsid w:val="001B359C"/>
    <w:rsid w:val="001B470D"/>
    <w:rsid w:val="001C4111"/>
    <w:rsid w:val="001D039A"/>
    <w:rsid w:val="001D1093"/>
    <w:rsid w:val="001D1232"/>
    <w:rsid w:val="001D199D"/>
    <w:rsid w:val="001D356F"/>
    <w:rsid w:val="001E062E"/>
    <w:rsid w:val="001E28E9"/>
    <w:rsid w:val="001E3F13"/>
    <w:rsid w:val="001E5AA0"/>
    <w:rsid w:val="001F09A0"/>
    <w:rsid w:val="001F6922"/>
    <w:rsid w:val="00201B26"/>
    <w:rsid w:val="00201CC6"/>
    <w:rsid w:val="0020510E"/>
    <w:rsid w:val="00207D40"/>
    <w:rsid w:val="00210C24"/>
    <w:rsid w:val="00212EA1"/>
    <w:rsid w:val="00213640"/>
    <w:rsid w:val="00223F92"/>
    <w:rsid w:val="00224F2F"/>
    <w:rsid w:val="002262BC"/>
    <w:rsid w:val="002308BC"/>
    <w:rsid w:val="00242922"/>
    <w:rsid w:val="00242FE2"/>
    <w:rsid w:val="0024602E"/>
    <w:rsid w:val="00247505"/>
    <w:rsid w:val="0025237C"/>
    <w:rsid w:val="00252596"/>
    <w:rsid w:val="00253767"/>
    <w:rsid w:val="002570F2"/>
    <w:rsid w:val="0025783E"/>
    <w:rsid w:val="00260165"/>
    <w:rsid w:val="00262865"/>
    <w:rsid w:val="00264211"/>
    <w:rsid w:val="00264629"/>
    <w:rsid w:val="00266DF6"/>
    <w:rsid w:val="002670B1"/>
    <w:rsid w:val="002677C4"/>
    <w:rsid w:val="0027046A"/>
    <w:rsid w:val="002717CC"/>
    <w:rsid w:val="00273C88"/>
    <w:rsid w:val="002764E4"/>
    <w:rsid w:val="00276F6D"/>
    <w:rsid w:val="002801DD"/>
    <w:rsid w:val="00295BA8"/>
    <w:rsid w:val="002968BE"/>
    <w:rsid w:val="00297AD0"/>
    <w:rsid w:val="002A0094"/>
    <w:rsid w:val="002A1C41"/>
    <w:rsid w:val="002A2648"/>
    <w:rsid w:val="002A2960"/>
    <w:rsid w:val="002A527E"/>
    <w:rsid w:val="002B1EE5"/>
    <w:rsid w:val="002B3577"/>
    <w:rsid w:val="002B477A"/>
    <w:rsid w:val="002B6339"/>
    <w:rsid w:val="002B653D"/>
    <w:rsid w:val="002C066A"/>
    <w:rsid w:val="002C11D2"/>
    <w:rsid w:val="002D1315"/>
    <w:rsid w:val="002D2DDB"/>
    <w:rsid w:val="002D3DB7"/>
    <w:rsid w:val="002E7ED6"/>
    <w:rsid w:val="002F2B7A"/>
    <w:rsid w:val="003073C7"/>
    <w:rsid w:val="00310799"/>
    <w:rsid w:val="00326383"/>
    <w:rsid w:val="00361367"/>
    <w:rsid w:val="00361D75"/>
    <w:rsid w:val="00372CFC"/>
    <w:rsid w:val="003738DD"/>
    <w:rsid w:val="00381424"/>
    <w:rsid w:val="00382444"/>
    <w:rsid w:val="0038717B"/>
    <w:rsid w:val="003923A0"/>
    <w:rsid w:val="003928BD"/>
    <w:rsid w:val="00394FD3"/>
    <w:rsid w:val="003951DE"/>
    <w:rsid w:val="003967A9"/>
    <w:rsid w:val="003A184A"/>
    <w:rsid w:val="003A4FDA"/>
    <w:rsid w:val="003C17C6"/>
    <w:rsid w:val="003C5724"/>
    <w:rsid w:val="003D100E"/>
    <w:rsid w:val="003D487D"/>
    <w:rsid w:val="003D4FE9"/>
    <w:rsid w:val="003D5233"/>
    <w:rsid w:val="003D5FBB"/>
    <w:rsid w:val="003D67EE"/>
    <w:rsid w:val="003D68B0"/>
    <w:rsid w:val="003E12A7"/>
    <w:rsid w:val="003E46A6"/>
    <w:rsid w:val="003E6C3B"/>
    <w:rsid w:val="003F2E4E"/>
    <w:rsid w:val="003F4E76"/>
    <w:rsid w:val="003F5643"/>
    <w:rsid w:val="0040098B"/>
    <w:rsid w:val="00401F6B"/>
    <w:rsid w:val="0040476A"/>
    <w:rsid w:val="00407402"/>
    <w:rsid w:val="0041042D"/>
    <w:rsid w:val="004152E7"/>
    <w:rsid w:val="00415629"/>
    <w:rsid w:val="00415FBA"/>
    <w:rsid w:val="004272DC"/>
    <w:rsid w:val="00430A01"/>
    <w:rsid w:val="004325EF"/>
    <w:rsid w:val="0043470B"/>
    <w:rsid w:val="00434FE0"/>
    <w:rsid w:val="0044152E"/>
    <w:rsid w:val="004534DF"/>
    <w:rsid w:val="00465644"/>
    <w:rsid w:val="00471AC5"/>
    <w:rsid w:val="00473E77"/>
    <w:rsid w:val="004743BB"/>
    <w:rsid w:val="0048547B"/>
    <w:rsid w:val="00490698"/>
    <w:rsid w:val="00493ABF"/>
    <w:rsid w:val="004954CB"/>
    <w:rsid w:val="004966CA"/>
    <w:rsid w:val="004A28B6"/>
    <w:rsid w:val="004A2E2E"/>
    <w:rsid w:val="004B679F"/>
    <w:rsid w:val="004B7151"/>
    <w:rsid w:val="004C222B"/>
    <w:rsid w:val="004C4000"/>
    <w:rsid w:val="004C5271"/>
    <w:rsid w:val="004C573D"/>
    <w:rsid w:val="004C6554"/>
    <w:rsid w:val="004D3AF9"/>
    <w:rsid w:val="004D57FF"/>
    <w:rsid w:val="004D79E0"/>
    <w:rsid w:val="004E1849"/>
    <w:rsid w:val="004F033C"/>
    <w:rsid w:val="004F44F9"/>
    <w:rsid w:val="004F5140"/>
    <w:rsid w:val="004F5F6A"/>
    <w:rsid w:val="00501BE1"/>
    <w:rsid w:val="00504B23"/>
    <w:rsid w:val="00507573"/>
    <w:rsid w:val="00507774"/>
    <w:rsid w:val="00510EA5"/>
    <w:rsid w:val="00520452"/>
    <w:rsid w:val="00520C6E"/>
    <w:rsid w:val="00522E8F"/>
    <w:rsid w:val="005235F5"/>
    <w:rsid w:val="00524333"/>
    <w:rsid w:val="00524909"/>
    <w:rsid w:val="005310D5"/>
    <w:rsid w:val="00531C7F"/>
    <w:rsid w:val="00533DA1"/>
    <w:rsid w:val="005347F6"/>
    <w:rsid w:val="00534DB4"/>
    <w:rsid w:val="00540959"/>
    <w:rsid w:val="00541F6B"/>
    <w:rsid w:val="005464E7"/>
    <w:rsid w:val="005472A1"/>
    <w:rsid w:val="00551327"/>
    <w:rsid w:val="005522C6"/>
    <w:rsid w:val="00552EE0"/>
    <w:rsid w:val="0056147B"/>
    <w:rsid w:val="00576013"/>
    <w:rsid w:val="00581664"/>
    <w:rsid w:val="0059384A"/>
    <w:rsid w:val="005957CE"/>
    <w:rsid w:val="005A6801"/>
    <w:rsid w:val="005B1C43"/>
    <w:rsid w:val="005B2823"/>
    <w:rsid w:val="005B5AF2"/>
    <w:rsid w:val="005B7CAC"/>
    <w:rsid w:val="005C1F62"/>
    <w:rsid w:val="005D1068"/>
    <w:rsid w:val="005D1928"/>
    <w:rsid w:val="005D284E"/>
    <w:rsid w:val="005D2A10"/>
    <w:rsid w:val="005D4D4E"/>
    <w:rsid w:val="005D5A89"/>
    <w:rsid w:val="005D7CE6"/>
    <w:rsid w:val="005E638B"/>
    <w:rsid w:val="005F2846"/>
    <w:rsid w:val="005F7DF3"/>
    <w:rsid w:val="006005D0"/>
    <w:rsid w:val="006045FE"/>
    <w:rsid w:val="0061160A"/>
    <w:rsid w:val="00616257"/>
    <w:rsid w:val="006234B7"/>
    <w:rsid w:val="0062761E"/>
    <w:rsid w:val="0063371A"/>
    <w:rsid w:val="00641DD7"/>
    <w:rsid w:val="0064557D"/>
    <w:rsid w:val="006474B5"/>
    <w:rsid w:val="006511F3"/>
    <w:rsid w:val="00667090"/>
    <w:rsid w:val="006719F5"/>
    <w:rsid w:val="006751C5"/>
    <w:rsid w:val="0068297B"/>
    <w:rsid w:val="00692C76"/>
    <w:rsid w:val="0069589E"/>
    <w:rsid w:val="00696FE3"/>
    <w:rsid w:val="006A00DC"/>
    <w:rsid w:val="006A1F6B"/>
    <w:rsid w:val="006A259E"/>
    <w:rsid w:val="006A4FAD"/>
    <w:rsid w:val="006A6B8F"/>
    <w:rsid w:val="006B1CCB"/>
    <w:rsid w:val="006B2649"/>
    <w:rsid w:val="006B38AB"/>
    <w:rsid w:val="006B3E97"/>
    <w:rsid w:val="006C316E"/>
    <w:rsid w:val="006D0D3C"/>
    <w:rsid w:val="006D4C57"/>
    <w:rsid w:val="006E3563"/>
    <w:rsid w:val="006F08D6"/>
    <w:rsid w:val="006F0B1A"/>
    <w:rsid w:val="006F2455"/>
    <w:rsid w:val="006F7096"/>
    <w:rsid w:val="007031A5"/>
    <w:rsid w:val="00703DFA"/>
    <w:rsid w:val="007041B3"/>
    <w:rsid w:val="00710919"/>
    <w:rsid w:val="0071392E"/>
    <w:rsid w:val="0071759D"/>
    <w:rsid w:val="00721100"/>
    <w:rsid w:val="00730F48"/>
    <w:rsid w:val="00734D3B"/>
    <w:rsid w:val="00734F6C"/>
    <w:rsid w:val="007350D7"/>
    <w:rsid w:val="00737189"/>
    <w:rsid w:val="007463FC"/>
    <w:rsid w:val="0074684B"/>
    <w:rsid w:val="0075076F"/>
    <w:rsid w:val="00751B6C"/>
    <w:rsid w:val="0075562C"/>
    <w:rsid w:val="00763A0A"/>
    <w:rsid w:val="007646FC"/>
    <w:rsid w:val="007656C2"/>
    <w:rsid w:val="00766E1B"/>
    <w:rsid w:val="00772749"/>
    <w:rsid w:val="00775B6C"/>
    <w:rsid w:val="00777D97"/>
    <w:rsid w:val="00787B3F"/>
    <w:rsid w:val="0079197B"/>
    <w:rsid w:val="00793EE3"/>
    <w:rsid w:val="0079475A"/>
    <w:rsid w:val="00796B54"/>
    <w:rsid w:val="00797898"/>
    <w:rsid w:val="007B090E"/>
    <w:rsid w:val="007B47B5"/>
    <w:rsid w:val="007C0A81"/>
    <w:rsid w:val="007C5DB7"/>
    <w:rsid w:val="007C6F27"/>
    <w:rsid w:val="007C7E99"/>
    <w:rsid w:val="007F1D22"/>
    <w:rsid w:val="00806941"/>
    <w:rsid w:val="00806A78"/>
    <w:rsid w:val="00807540"/>
    <w:rsid w:val="00810081"/>
    <w:rsid w:val="00811CD1"/>
    <w:rsid w:val="00811D96"/>
    <w:rsid w:val="008206AE"/>
    <w:rsid w:val="0082089A"/>
    <w:rsid w:val="00835929"/>
    <w:rsid w:val="008466E6"/>
    <w:rsid w:val="00847D34"/>
    <w:rsid w:val="00851E21"/>
    <w:rsid w:val="00855165"/>
    <w:rsid w:val="00867BE8"/>
    <w:rsid w:val="00870308"/>
    <w:rsid w:val="008725AB"/>
    <w:rsid w:val="00873ACC"/>
    <w:rsid w:val="00881843"/>
    <w:rsid w:val="008847FC"/>
    <w:rsid w:val="00885609"/>
    <w:rsid w:val="00891B39"/>
    <w:rsid w:val="00892CE6"/>
    <w:rsid w:val="00897837"/>
    <w:rsid w:val="008A15DB"/>
    <w:rsid w:val="008A1B11"/>
    <w:rsid w:val="008A5102"/>
    <w:rsid w:val="008A7D31"/>
    <w:rsid w:val="008B23FE"/>
    <w:rsid w:val="008C2B8C"/>
    <w:rsid w:val="008C4EDA"/>
    <w:rsid w:val="008C58D7"/>
    <w:rsid w:val="008E15C3"/>
    <w:rsid w:val="008E3CA9"/>
    <w:rsid w:val="008E5A03"/>
    <w:rsid w:val="008F6825"/>
    <w:rsid w:val="00902558"/>
    <w:rsid w:val="009072D9"/>
    <w:rsid w:val="00914EA4"/>
    <w:rsid w:val="009171DE"/>
    <w:rsid w:val="0091748D"/>
    <w:rsid w:val="0091759F"/>
    <w:rsid w:val="00921BD7"/>
    <w:rsid w:val="00924790"/>
    <w:rsid w:val="00925DE6"/>
    <w:rsid w:val="009275F5"/>
    <w:rsid w:val="009307CE"/>
    <w:rsid w:val="00930DF4"/>
    <w:rsid w:val="009312AF"/>
    <w:rsid w:val="0093347A"/>
    <w:rsid w:val="009377AA"/>
    <w:rsid w:val="00941CAB"/>
    <w:rsid w:val="00942198"/>
    <w:rsid w:val="009522B8"/>
    <w:rsid w:val="0095709E"/>
    <w:rsid w:val="00960C14"/>
    <w:rsid w:val="00964406"/>
    <w:rsid w:val="00980540"/>
    <w:rsid w:val="00981C9E"/>
    <w:rsid w:val="00984459"/>
    <w:rsid w:val="00985E90"/>
    <w:rsid w:val="00992A75"/>
    <w:rsid w:val="009A16A6"/>
    <w:rsid w:val="009B13BF"/>
    <w:rsid w:val="009B3C17"/>
    <w:rsid w:val="009C2AF0"/>
    <w:rsid w:val="009C3149"/>
    <w:rsid w:val="009C4090"/>
    <w:rsid w:val="009C4B43"/>
    <w:rsid w:val="009D6051"/>
    <w:rsid w:val="009D7082"/>
    <w:rsid w:val="009E5CA2"/>
    <w:rsid w:val="009F0C9F"/>
    <w:rsid w:val="009F2D8D"/>
    <w:rsid w:val="009F4DA8"/>
    <w:rsid w:val="009F5272"/>
    <w:rsid w:val="009F76AA"/>
    <w:rsid w:val="00A06D25"/>
    <w:rsid w:val="00A07FCD"/>
    <w:rsid w:val="00A20F95"/>
    <w:rsid w:val="00A2194B"/>
    <w:rsid w:val="00A24081"/>
    <w:rsid w:val="00A241E9"/>
    <w:rsid w:val="00A326B9"/>
    <w:rsid w:val="00A33AD3"/>
    <w:rsid w:val="00A42CBB"/>
    <w:rsid w:val="00A46046"/>
    <w:rsid w:val="00A4799F"/>
    <w:rsid w:val="00A52E09"/>
    <w:rsid w:val="00A53785"/>
    <w:rsid w:val="00A66598"/>
    <w:rsid w:val="00A721F8"/>
    <w:rsid w:val="00A761F3"/>
    <w:rsid w:val="00A830F9"/>
    <w:rsid w:val="00A86864"/>
    <w:rsid w:val="00A90E3D"/>
    <w:rsid w:val="00A92D32"/>
    <w:rsid w:val="00A97B54"/>
    <w:rsid w:val="00AB169F"/>
    <w:rsid w:val="00AB6A99"/>
    <w:rsid w:val="00AC36F1"/>
    <w:rsid w:val="00AC4093"/>
    <w:rsid w:val="00AE3EEE"/>
    <w:rsid w:val="00AE5296"/>
    <w:rsid w:val="00AF0390"/>
    <w:rsid w:val="00AF20D4"/>
    <w:rsid w:val="00AF2315"/>
    <w:rsid w:val="00AF3B33"/>
    <w:rsid w:val="00B0527B"/>
    <w:rsid w:val="00B056A7"/>
    <w:rsid w:val="00B05E75"/>
    <w:rsid w:val="00B12DA3"/>
    <w:rsid w:val="00B13F02"/>
    <w:rsid w:val="00B14ADF"/>
    <w:rsid w:val="00B157EF"/>
    <w:rsid w:val="00B16CDC"/>
    <w:rsid w:val="00B22BB9"/>
    <w:rsid w:val="00B25F6F"/>
    <w:rsid w:val="00B26EEF"/>
    <w:rsid w:val="00B32E66"/>
    <w:rsid w:val="00B333D9"/>
    <w:rsid w:val="00B3458E"/>
    <w:rsid w:val="00B34E3C"/>
    <w:rsid w:val="00B35EF3"/>
    <w:rsid w:val="00B36B5C"/>
    <w:rsid w:val="00B37B62"/>
    <w:rsid w:val="00B432F4"/>
    <w:rsid w:val="00B46179"/>
    <w:rsid w:val="00B479D7"/>
    <w:rsid w:val="00B510EC"/>
    <w:rsid w:val="00B5441A"/>
    <w:rsid w:val="00B5602F"/>
    <w:rsid w:val="00B56BC3"/>
    <w:rsid w:val="00B61CA7"/>
    <w:rsid w:val="00B652E1"/>
    <w:rsid w:val="00B72375"/>
    <w:rsid w:val="00B801A4"/>
    <w:rsid w:val="00B9258F"/>
    <w:rsid w:val="00B92645"/>
    <w:rsid w:val="00B965BD"/>
    <w:rsid w:val="00B97CB5"/>
    <w:rsid w:val="00BA1956"/>
    <w:rsid w:val="00BA7C21"/>
    <w:rsid w:val="00BB41DF"/>
    <w:rsid w:val="00BC261D"/>
    <w:rsid w:val="00BC4FA7"/>
    <w:rsid w:val="00BC708B"/>
    <w:rsid w:val="00BD20EC"/>
    <w:rsid w:val="00BD245C"/>
    <w:rsid w:val="00BE2260"/>
    <w:rsid w:val="00BF038E"/>
    <w:rsid w:val="00BF3860"/>
    <w:rsid w:val="00BF6A39"/>
    <w:rsid w:val="00C04FB1"/>
    <w:rsid w:val="00C07BD1"/>
    <w:rsid w:val="00C128C5"/>
    <w:rsid w:val="00C21D8B"/>
    <w:rsid w:val="00C24B5F"/>
    <w:rsid w:val="00C26DEF"/>
    <w:rsid w:val="00C27B04"/>
    <w:rsid w:val="00C30E70"/>
    <w:rsid w:val="00C336BC"/>
    <w:rsid w:val="00C34E61"/>
    <w:rsid w:val="00C43ACC"/>
    <w:rsid w:val="00C44008"/>
    <w:rsid w:val="00C544ED"/>
    <w:rsid w:val="00C56857"/>
    <w:rsid w:val="00C56A63"/>
    <w:rsid w:val="00C606AA"/>
    <w:rsid w:val="00C60E61"/>
    <w:rsid w:val="00C61389"/>
    <w:rsid w:val="00C666C0"/>
    <w:rsid w:val="00C73A33"/>
    <w:rsid w:val="00C76E51"/>
    <w:rsid w:val="00C82833"/>
    <w:rsid w:val="00C859D2"/>
    <w:rsid w:val="00C868C2"/>
    <w:rsid w:val="00C87FFC"/>
    <w:rsid w:val="00C973DA"/>
    <w:rsid w:val="00CA2BFC"/>
    <w:rsid w:val="00CA2F77"/>
    <w:rsid w:val="00CA3653"/>
    <w:rsid w:val="00CA4135"/>
    <w:rsid w:val="00CA603E"/>
    <w:rsid w:val="00CA6CFB"/>
    <w:rsid w:val="00CB027A"/>
    <w:rsid w:val="00CB7F66"/>
    <w:rsid w:val="00CC1187"/>
    <w:rsid w:val="00CC3D31"/>
    <w:rsid w:val="00CC5CF4"/>
    <w:rsid w:val="00CD30B3"/>
    <w:rsid w:val="00CD5932"/>
    <w:rsid w:val="00CD65ED"/>
    <w:rsid w:val="00CF118D"/>
    <w:rsid w:val="00CF2224"/>
    <w:rsid w:val="00CF5110"/>
    <w:rsid w:val="00CF6A66"/>
    <w:rsid w:val="00D02F8E"/>
    <w:rsid w:val="00D03239"/>
    <w:rsid w:val="00D10043"/>
    <w:rsid w:val="00D33C27"/>
    <w:rsid w:val="00D46D4C"/>
    <w:rsid w:val="00D50DB3"/>
    <w:rsid w:val="00D53E0D"/>
    <w:rsid w:val="00D55046"/>
    <w:rsid w:val="00D57E5D"/>
    <w:rsid w:val="00D6093B"/>
    <w:rsid w:val="00D61317"/>
    <w:rsid w:val="00D65DE4"/>
    <w:rsid w:val="00D70386"/>
    <w:rsid w:val="00D7561B"/>
    <w:rsid w:val="00D76698"/>
    <w:rsid w:val="00D77EF6"/>
    <w:rsid w:val="00D80FC0"/>
    <w:rsid w:val="00D812F5"/>
    <w:rsid w:val="00D81F20"/>
    <w:rsid w:val="00D83D8F"/>
    <w:rsid w:val="00D876BC"/>
    <w:rsid w:val="00DA66A5"/>
    <w:rsid w:val="00DA74CC"/>
    <w:rsid w:val="00DC0EA0"/>
    <w:rsid w:val="00DC7CF6"/>
    <w:rsid w:val="00DD4D42"/>
    <w:rsid w:val="00DF38FC"/>
    <w:rsid w:val="00DF7279"/>
    <w:rsid w:val="00E00CE5"/>
    <w:rsid w:val="00E03F01"/>
    <w:rsid w:val="00E05966"/>
    <w:rsid w:val="00E060C5"/>
    <w:rsid w:val="00E102BF"/>
    <w:rsid w:val="00E12AF9"/>
    <w:rsid w:val="00E1689B"/>
    <w:rsid w:val="00E173EC"/>
    <w:rsid w:val="00E17B97"/>
    <w:rsid w:val="00E24DDA"/>
    <w:rsid w:val="00E25AA6"/>
    <w:rsid w:val="00E30188"/>
    <w:rsid w:val="00E37C8E"/>
    <w:rsid w:val="00E40D0B"/>
    <w:rsid w:val="00E416A1"/>
    <w:rsid w:val="00E532BA"/>
    <w:rsid w:val="00E53EA8"/>
    <w:rsid w:val="00E55684"/>
    <w:rsid w:val="00E56B5B"/>
    <w:rsid w:val="00E62D4B"/>
    <w:rsid w:val="00E64726"/>
    <w:rsid w:val="00E66227"/>
    <w:rsid w:val="00E66BA6"/>
    <w:rsid w:val="00E70F0E"/>
    <w:rsid w:val="00E75E73"/>
    <w:rsid w:val="00E807DE"/>
    <w:rsid w:val="00E839C0"/>
    <w:rsid w:val="00E9022F"/>
    <w:rsid w:val="00E95107"/>
    <w:rsid w:val="00E9710C"/>
    <w:rsid w:val="00EA1A78"/>
    <w:rsid w:val="00EA7CE1"/>
    <w:rsid w:val="00EB0497"/>
    <w:rsid w:val="00EB25CC"/>
    <w:rsid w:val="00EC2FA4"/>
    <w:rsid w:val="00EC4E75"/>
    <w:rsid w:val="00ED150C"/>
    <w:rsid w:val="00ED6643"/>
    <w:rsid w:val="00EE0005"/>
    <w:rsid w:val="00EE08A6"/>
    <w:rsid w:val="00EF53A3"/>
    <w:rsid w:val="00F0329F"/>
    <w:rsid w:val="00F10FCC"/>
    <w:rsid w:val="00F137FB"/>
    <w:rsid w:val="00F15842"/>
    <w:rsid w:val="00F20766"/>
    <w:rsid w:val="00F234A3"/>
    <w:rsid w:val="00F26F8D"/>
    <w:rsid w:val="00F4015C"/>
    <w:rsid w:val="00F43766"/>
    <w:rsid w:val="00F622D7"/>
    <w:rsid w:val="00F62D63"/>
    <w:rsid w:val="00F70AFF"/>
    <w:rsid w:val="00F71ECE"/>
    <w:rsid w:val="00F71EDF"/>
    <w:rsid w:val="00F81854"/>
    <w:rsid w:val="00F8380A"/>
    <w:rsid w:val="00F839CF"/>
    <w:rsid w:val="00F86591"/>
    <w:rsid w:val="00F86953"/>
    <w:rsid w:val="00F87541"/>
    <w:rsid w:val="00F96300"/>
    <w:rsid w:val="00F963CD"/>
    <w:rsid w:val="00FB2016"/>
    <w:rsid w:val="00FB44B9"/>
    <w:rsid w:val="00FC3957"/>
    <w:rsid w:val="00FD3596"/>
    <w:rsid w:val="00FD4650"/>
    <w:rsid w:val="00FD5069"/>
    <w:rsid w:val="00FD5807"/>
    <w:rsid w:val="00FD5A92"/>
    <w:rsid w:val="00FE4DAF"/>
    <w:rsid w:val="00FE61D8"/>
    <w:rsid w:val="00FF66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CC5CF4"/>
    <w:rPr>
      <w:sz w:val="24"/>
      <w:szCs w:val="24"/>
    </w:rPr>
  </w:style>
  <w:style w:type="paragraph" w:styleId="Heading1">
    <w:name w:val="heading 1"/>
    <w:basedOn w:val="Normal"/>
    <w:next w:val="Normal"/>
    <w:qFormat/>
    <w:rsid w:val="0019743A"/>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19743A"/>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19743A"/>
    <w:pPr>
      <w:keepNext/>
      <w:spacing w:before="240" w:after="60"/>
      <w:outlineLvl w:val="2"/>
    </w:pPr>
    <w:rPr>
      <w:rFonts w:ascii="Arial" w:hAnsi="Arial" w:cs="Arial"/>
      <w:b/>
      <w:bCs/>
      <w:sz w:val="26"/>
      <w:szCs w:val="26"/>
    </w:rPr>
  </w:style>
  <w:style w:type="paragraph" w:styleId="Heading4">
    <w:name w:val="heading 4"/>
    <w:basedOn w:val="Normal"/>
    <w:next w:val="Normal"/>
    <w:qFormat/>
    <w:rsid w:val="00FE4DAF"/>
    <w:pPr>
      <w:keepNext/>
      <w:spacing w:before="240" w:after="60"/>
      <w:outlineLvl w:val="3"/>
    </w:pPr>
    <w:rPr>
      <w:rFonts w:ascii="Arial" w:hAnsi="Arial"/>
      <w:bCs/>
      <w:szCs w:val="28"/>
    </w:rPr>
  </w:style>
  <w:style w:type="paragraph" w:styleId="Heading5">
    <w:name w:val="heading 5"/>
    <w:next w:val="Body"/>
    <w:qFormat/>
    <w:rsid w:val="003D100E"/>
    <w:pPr>
      <w:keepNext/>
      <w:spacing w:before="120" w:after="60"/>
      <w:ind w:left="1440"/>
      <w:outlineLvl w:val="4"/>
    </w:pPr>
    <w:rPr>
      <w:rFonts w:ascii="Arial" w:hAnsi="Arial"/>
      <w:b/>
      <w:sz w:val="22"/>
    </w:rPr>
  </w:style>
  <w:style w:type="paragraph" w:styleId="Heading6">
    <w:name w:val="heading 6"/>
    <w:basedOn w:val="Normal"/>
    <w:next w:val="Normal"/>
    <w:qFormat/>
    <w:rsid w:val="003D100E"/>
    <w:pPr>
      <w:numPr>
        <w:ilvl w:val="5"/>
        <w:numId w:val="5"/>
      </w:numPr>
      <w:spacing w:before="240" w:after="60"/>
      <w:outlineLvl w:val="5"/>
    </w:pPr>
    <w:rPr>
      <w:i/>
      <w:sz w:val="22"/>
      <w:szCs w:val="20"/>
    </w:rPr>
  </w:style>
  <w:style w:type="paragraph" w:styleId="Heading7">
    <w:name w:val="heading 7"/>
    <w:basedOn w:val="Normal"/>
    <w:next w:val="Normal"/>
    <w:qFormat/>
    <w:rsid w:val="003D100E"/>
    <w:pPr>
      <w:numPr>
        <w:ilvl w:val="6"/>
        <w:numId w:val="5"/>
      </w:numPr>
      <w:spacing w:before="240" w:after="60"/>
      <w:outlineLvl w:val="6"/>
    </w:pPr>
    <w:rPr>
      <w:rFonts w:ascii="Arial" w:hAnsi="Arial"/>
      <w:sz w:val="20"/>
      <w:szCs w:val="20"/>
    </w:rPr>
  </w:style>
  <w:style w:type="paragraph" w:styleId="Heading8">
    <w:name w:val="heading 8"/>
    <w:basedOn w:val="Normal"/>
    <w:next w:val="Normal"/>
    <w:qFormat/>
    <w:rsid w:val="003D100E"/>
    <w:pPr>
      <w:numPr>
        <w:ilvl w:val="7"/>
        <w:numId w:val="5"/>
      </w:numPr>
      <w:spacing w:before="240" w:after="60"/>
      <w:outlineLvl w:val="7"/>
    </w:pPr>
    <w:rPr>
      <w:rFonts w:ascii="Arial" w:hAnsi="Arial"/>
      <w:i/>
      <w:sz w:val="20"/>
      <w:szCs w:val="20"/>
    </w:rPr>
  </w:style>
  <w:style w:type="paragraph" w:styleId="Heading9">
    <w:name w:val="heading 9"/>
    <w:basedOn w:val="Normal"/>
    <w:next w:val="Normal"/>
    <w:qFormat/>
    <w:rsid w:val="003D100E"/>
    <w:pPr>
      <w:numPr>
        <w:ilvl w:val="8"/>
        <w:numId w:val="5"/>
      </w:numPr>
      <w:spacing w:before="240" w:after="60"/>
      <w:outlineLvl w:val="8"/>
    </w:pPr>
    <w:rPr>
      <w:rFonts w:ascii="Arial"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AC4093"/>
    <w:pPr>
      <w:spacing w:after="120"/>
      <w:ind w:left="1440"/>
    </w:pPr>
    <w:rPr>
      <w:sz w:val="22"/>
    </w:rPr>
  </w:style>
  <w:style w:type="table" w:styleId="TableGrid">
    <w:name w:val="Table Grid"/>
    <w:basedOn w:val="TableNormal"/>
    <w:rsid w:val="00AC40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AC4093"/>
    <w:rPr>
      <w:color w:val="0000FF"/>
      <w:u w:val="single"/>
    </w:rPr>
  </w:style>
  <w:style w:type="paragraph" w:styleId="TOC1">
    <w:name w:val="toc 1"/>
    <w:basedOn w:val="Normal"/>
    <w:next w:val="Normal"/>
    <w:autoRedefine/>
    <w:uiPriority w:val="39"/>
    <w:rsid w:val="00CF6A66"/>
    <w:pPr>
      <w:spacing w:before="120"/>
      <w:jc w:val="center"/>
    </w:pPr>
    <w:rPr>
      <w:rFonts w:ascii="Arial" w:hAnsi="Arial" w:cs="Arial"/>
      <w:b/>
      <w:bCs/>
      <w:i/>
      <w:iCs/>
      <w:sz w:val="28"/>
      <w:szCs w:val="28"/>
    </w:rPr>
  </w:style>
  <w:style w:type="paragraph" w:styleId="TOC4">
    <w:name w:val="toc 4"/>
    <w:basedOn w:val="Normal"/>
    <w:next w:val="Normal"/>
    <w:autoRedefine/>
    <w:semiHidden/>
    <w:rsid w:val="00253767"/>
    <w:pPr>
      <w:ind w:left="720"/>
    </w:pPr>
    <w:rPr>
      <w:sz w:val="20"/>
      <w:szCs w:val="20"/>
    </w:rPr>
  </w:style>
  <w:style w:type="paragraph" w:styleId="TOC2">
    <w:name w:val="toc 2"/>
    <w:basedOn w:val="Normal"/>
    <w:next w:val="Normal"/>
    <w:autoRedefine/>
    <w:uiPriority w:val="39"/>
    <w:rsid w:val="00253767"/>
    <w:pPr>
      <w:spacing w:before="120"/>
      <w:ind w:left="240"/>
    </w:pPr>
    <w:rPr>
      <w:b/>
      <w:bCs/>
      <w:sz w:val="22"/>
      <w:szCs w:val="22"/>
    </w:rPr>
  </w:style>
  <w:style w:type="paragraph" w:styleId="TOC3">
    <w:name w:val="toc 3"/>
    <w:basedOn w:val="Normal"/>
    <w:next w:val="Normal"/>
    <w:autoRedefine/>
    <w:semiHidden/>
    <w:rsid w:val="00851E21"/>
    <w:pPr>
      <w:ind w:left="480"/>
    </w:pPr>
    <w:rPr>
      <w:sz w:val="20"/>
      <w:szCs w:val="20"/>
    </w:rPr>
  </w:style>
  <w:style w:type="paragraph" w:styleId="Caption">
    <w:name w:val="caption"/>
    <w:basedOn w:val="Body"/>
    <w:next w:val="Body"/>
    <w:qFormat/>
    <w:rsid w:val="003D100E"/>
    <w:rPr>
      <w:rFonts w:ascii="Arial" w:hAnsi="Arial"/>
      <w:b/>
      <w:sz w:val="20"/>
    </w:rPr>
  </w:style>
  <w:style w:type="paragraph" w:styleId="Header">
    <w:name w:val="header"/>
    <w:basedOn w:val="Normal"/>
    <w:rsid w:val="003D100E"/>
    <w:pPr>
      <w:tabs>
        <w:tab w:val="right" w:pos="8640"/>
      </w:tabs>
    </w:pPr>
    <w:rPr>
      <w:rFonts w:ascii="Arial" w:hAnsi="Arial"/>
      <w:sz w:val="22"/>
      <w:szCs w:val="20"/>
    </w:rPr>
  </w:style>
  <w:style w:type="paragraph" w:styleId="Footer">
    <w:name w:val="footer"/>
    <w:basedOn w:val="Normal"/>
    <w:rsid w:val="003D100E"/>
    <w:pPr>
      <w:tabs>
        <w:tab w:val="center" w:pos="4320"/>
        <w:tab w:val="right" w:pos="8640"/>
      </w:tabs>
    </w:pPr>
    <w:rPr>
      <w:rFonts w:ascii="Arial" w:hAnsi="Arial"/>
      <w:i/>
      <w:sz w:val="20"/>
      <w:szCs w:val="20"/>
    </w:rPr>
  </w:style>
  <w:style w:type="character" w:styleId="PageNumber">
    <w:name w:val="page number"/>
    <w:rsid w:val="003D100E"/>
    <w:rPr>
      <w:b/>
    </w:rPr>
  </w:style>
  <w:style w:type="paragraph" w:customStyle="1" w:styleId="TableText">
    <w:name w:val="TableText"/>
    <w:basedOn w:val="Normal"/>
    <w:rsid w:val="003D100E"/>
    <w:pPr>
      <w:keepNext/>
      <w:spacing w:before="60" w:after="60"/>
    </w:pPr>
    <w:rPr>
      <w:sz w:val="20"/>
      <w:szCs w:val="20"/>
    </w:rPr>
  </w:style>
  <w:style w:type="paragraph" w:customStyle="1" w:styleId="BulletList">
    <w:name w:val="Bullet List"/>
    <w:basedOn w:val="Normal"/>
    <w:rsid w:val="003D100E"/>
    <w:pPr>
      <w:keepNext/>
      <w:numPr>
        <w:numId w:val="1"/>
      </w:numPr>
      <w:tabs>
        <w:tab w:val="clear" w:pos="360"/>
      </w:tabs>
      <w:spacing w:after="120"/>
      <w:ind w:left="1800"/>
    </w:pPr>
    <w:rPr>
      <w:sz w:val="22"/>
      <w:szCs w:val="20"/>
    </w:rPr>
  </w:style>
  <w:style w:type="paragraph" w:customStyle="1" w:styleId="BulletList2">
    <w:name w:val="Bullet List 2"/>
    <w:rsid w:val="003D100E"/>
    <w:pPr>
      <w:numPr>
        <w:numId w:val="2"/>
      </w:numPr>
      <w:tabs>
        <w:tab w:val="clear" w:pos="360"/>
      </w:tabs>
      <w:spacing w:after="120"/>
      <w:ind w:left="2160"/>
    </w:pPr>
    <w:rPr>
      <w:sz w:val="22"/>
    </w:rPr>
  </w:style>
  <w:style w:type="paragraph" w:customStyle="1" w:styleId="BulletList2Compact">
    <w:name w:val="Bullet List 2 Compact"/>
    <w:basedOn w:val="BulletList2"/>
    <w:rsid w:val="003D100E"/>
    <w:pPr>
      <w:numPr>
        <w:numId w:val="3"/>
      </w:numPr>
      <w:tabs>
        <w:tab w:val="clear" w:pos="360"/>
        <w:tab w:val="left" w:pos="2160"/>
      </w:tabs>
      <w:spacing w:after="0"/>
      <w:ind w:left="2160"/>
    </w:pPr>
  </w:style>
  <w:style w:type="paragraph" w:customStyle="1" w:styleId="BulletListCompact">
    <w:name w:val="Bullet List Compact"/>
    <w:basedOn w:val="BulletList"/>
    <w:rsid w:val="003D100E"/>
    <w:pPr>
      <w:numPr>
        <w:numId w:val="4"/>
      </w:numPr>
      <w:tabs>
        <w:tab w:val="clear" w:pos="360"/>
        <w:tab w:val="left" w:pos="1800"/>
      </w:tabs>
      <w:spacing w:after="0"/>
      <w:ind w:left="1800"/>
    </w:pPr>
  </w:style>
  <w:style w:type="paragraph" w:customStyle="1" w:styleId="Note-Tip-Caution">
    <w:name w:val="Note-Tip-Caution"/>
    <w:basedOn w:val="Body"/>
    <w:next w:val="N-T-CText"/>
    <w:rsid w:val="003D100E"/>
    <w:pPr>
      <w:keepNext/>
      <w:keepLines/>
      <w:pBdr>
        <w:top w:val="single" w:sz="6" w:space="1" w:color="auto"/>
      </w:pBdr>
      <w:spacing w:after="0" w:line="230" w:lineRule="atLeast"/>
    </w:pPr>
    <w:rPr>
      <w:rFonts w:ascii="Arial" w:hAnsi="Arial"/>
      <w:b/>
      <w:sz w:val="20"/>
    </w:rPr>
  </w:style>
  <w:style w:type="paragraph" w:customStyle="1" w:styleId="N-T-CText">
    <w:name w:val="N-T-C Text"/>
    <w:basedOn w:val="Body"/>
    <w:rsid w:val="003D100E"/>
    <w:pPr>
      <w:pBdr>
        <w:bottom w:val="single" w:sz="6" w:space="1" w:color="auto"/>
      </w:pBdr>
    </w:pPr>
  </w:style>
  <w:style w:type="paragraph" w:styleId="ListNumber">
    <w:name w:val="List Number"/>
    <w:basedOn w:val="Normal"/>
    <w:rsid w:val="003D100E"/>
    <w:pPr>
      <w:numPr>
        <w:numId w:val="6"/>
      </w:numPr>
    </w:pPr>
    <w:rPr>
      <w:sz w:val="22"/>
      <w:szCs w:val="20"/>
    </w:rPr>
  </w:style>
  <w:style w:type="paragraph" w:customStyle="1" w:styleId="TableList">
    <w:name w:val="Table List"/>
    <w:basedOn w:val="TableText"/>
    <w:autoRedefine/>
    <w:rsid w:val="003D100E"/>
    <w:pPr>
      <w:spacing w:before="0" w:after="0"/>
    </w:pPr>
  </w:style>
  <w:style w:type="paragraph" w:customStyle="1" w:styleId="TableListFirst">
    <w:name w:val="Table List First"/>
    <w:basedOn w:val="TableList"/>
    <w:autoRedefine/>
    <w:rsid w:val="003D100E"/>
    <w:pPr>
      <w:spacing w:before="60"/>
    </w:pPr>
  </w:style>
  <w:style w:type="paragraph" w:customStyle="1" w:styleId="TableListLast">
    <w:name w:val="Table List Last"/>
    <w:basedOn w:val="TableList"/>
    <w:autoRedefine/>
    <w:rsid w:val="003D100E"/>
    <w:pPr>
      <w:spacing w:after="120"/>
    </w:pPr>
  </w:style>
  <w:style w:type="paragraph" w:customStyle="1" w:styleId="TableHead">
    <w:name w:val="TableHead"/>
    <w:basedOn w:val="TableText"/>
    <w:autoRedefine/>
    <w:rsid w:val="003D100E"/>
    <w:rPr>
      <w:rFonts w:ascii="Arial" w:hAnsi="Arial"/>
      <w:b/>
      <w:color w:val="000080"/>
    </w:rPr>
  </w:style>
  <w:style w:type="paragraph" w:customStyle="1" w:styleId="Window">
    <w:name w:val="Window"/>
    <w:basedOn w:val="Normal"/>
    <w:next w:val="Caption"/>
    <w:autoRedefine/>
    <w:rsid w:val="003D100E"/>
    <w:pPr>
      <w:keepNext/>
      <w:spacing w:before="120" w:after="120"/>
      <w:ind w:left="1440"/>
    </w:pPr>
    <w:rPr>
      <w:sz w:val="22"/>
      <w:szCs w:val="20"/>
    </w:rPr>
  </w:style>
  <w:style w:type="paragraph" w:customStyle="1" w:styleId="DefineList">
    <w:name w:val="Define List"/>
    <w:basedOn w:val="Normal"/>
    <w:rsid w:val="003D100E"/>
    <w:pPr>
      <w:keepLines/>
      <w:tabs>
        <w:tab w:val="left" w:pos="2880"/>
      </w:tabs>
      <w:spacing w:after="120" w:line="230" w:lineRule="atLeast"/>
      <w:ind w:left="2880" w:hanging="1440"/>
    </w:pPr>
    <w:rPr>
      <w:sz w:val="22"/>
      <w:szCs w:val="20"/>
    </w:rPr>
  </w:style>
  <w:style w:type="paragraph" w:styleId="Index1">
    <w:name w:val="index 1"/>
    <w:basedOn w:val="Normal"/>
    <w:next w:val="Normal"/>
    <w:autoRedefine/>
    <w:semiHidden/>
    <w:rsid w:val="003D100E"/>
    <w:pPr>
      <w:ind w:left="240" w:hanging="240"/>
    </w:pPr>
  </w:style>
  <w:style w:type="paragraph" w:styleId="IndexHeading">
    <w:name w:val="index heading"/>
    <w:basedOn w:val="Normal"/>
    <w:next w:val="Normal"/>
    <w:semiHidden/>
    <w:rsid w:val="003D100E"/>
    <w:rPr>
      <w:rFonts w:ascii="Arial" w:hAnsi="Arial"/>
      <w:b/>
      <w:sz w:val="22"/>
      <w:szCs w:val="20"/>
    </w:rPr>
  </w:style>
  <w:style w:type="paragraph" w:customStyle="1" w:styleId="TextFigure">
    <w:name w:val="Text Figure"/>
    <w:basedOn w:val="Normal"/>
    <w:next w:val="Normal"/>
    <w:rsid w:val="003D100E"/>
    <w:pPr>
      <w:keepNext/>
      <w:keepLines/>
      <w:pBdr>
        <w:top w:val="single" w:sz="6" w:space="1" w:color="auto"/>
        <w:left w:val="single" w:sz="6" w:space="1" w:color="auto"/>
        <w:bottom w:val="single" w:sz="6" w:space="1" w:color="auto"/>
        <w:right w:val="single" w:sz="6" w:space="1" w:color="auto"/>
      </w:pBdr>
      <w:suppressAutoHyphens/>
      <w:spacing w:line="230" w:lineRule="atLeast"/>
    </w:pPr>
    <w:rPr>
      <w:rFonts w:ascii="Courier New" w:hAnsi="Courier New"/>
      <w:sz w:val="16"/>
      <w:szCs w:val="20"/>
    </w:rPr>
  </w:style>
  <w:style w:type="paragraph" w:customStyle="1" w:styleId="DefineListCompact">
    <w:name w:val="Define List Compact"/>
    <w:basedOn w:val="DefineList"/>
    <w:rsid w:val="003D100E"/>
    <w:pPr>
      <w:keepNext/>
      <w:spacing w:after="0"/>
    </w:pPr>
  </w:style>
  <w:style w:type="paragraph" w:styleId="BlockText">
    <w:name w:val="Block Text"/>
    <w:basedOn w:val="Normal"/>
    <w:rsid w:val="003D100E"/>
    <w:pPr>
      <w:spacing w:after="120"/>
      <w:ind w:left="1440" w:right="1440"/>
    </w:pPr>
    <w:rPr>
      <w:sz w:val="22"/>
      <w:szCs w:val="20"/>
    </w:rPr>
  </w:style>
  <w:style w:type="paragraph" w:customStyle="1" w:styleId="Example">
    <w:name w:val="Example"/>
    <w:basedOn w:val="Normal"/>
    <w:rsid w:val="003D100E"/>
    <w:pPr>
      <w:keepLines/>
      <w:suppressAutoHyphens/>
      <w:spacing w:line="230" w:lineRule="atLeast"/>
      <w:ind w:left="1440"/>
    </w:pPr>
    <w:rPr>
      <w:rFonts w:ascii="Courier New" w:hAnsi="Courier New"/>
      <w:sz w:val="22"/>
      <w:szCs w:val="20"/>
    </w:rPr>
  </w:style>
  <w:style w:type="paragraph" w:styleId="BodyText">
    <w:name w:val="Body Text"/>
    <w:basedOn w:val="Normal"/>
    <w:rsid w:val="003D100E"/>
    <w:pPr>
      <w:spacing w:after="120"/>
    </w:pPr>
    <w:rPr>
      <w:sz w:val="22"/>
      <w:szCs w:val="20"/>
    </w:rPr>
  </w:style>
  <w:style w:type="paragraph" w:customStyle="1" w:styleId="ExampleCompact">
    <w:name w:val="Example Compact"/>
    <w:basedOn w:val="Example"/>
    <w:rsid w:val="003D100E"/>
    <w:pPr>
      <w:keepNext/>
    </w:pPr>
  </w:style>
  <w:style w:type="paragraph" w:styleId="TOC5">
    <w:name w:val="toc 5"/>
    <w:basedOn w:val="Normal"/>
    <w:next w:val="Normal"/>
    <w:autoRedefine/>
    <w:semiHidden/>
    <w:rsid w:val="003D100E"/>
    <w:pPr>
      <w:ind w:left="960"/>
    </w:pPr>
    <w:rPr>
      <w:sz w:val="20"/>
      <w:szCs w:val="20"/>
    </w:rPr>
  </w:style>
  <w:style w:type="paragraph" w:styleId="TOC6">
    <w:name w:val="toc 6"/>
    <w:basedOn w:val="Normal"/>
    <w:next w:val="Normal"/>
    <w:autoRedefine/>
    <w:semiHidden/>
    <w:rsid w:val="003D100E"/>
    <w:pPr>
      <w:ind w:left="1200"/>
    </w:pPr>
    <w:rPr>
      <w:sz w:val="20"/>
      <w:szCs w:val="20"/>
    </w:rPr>
  </w:style>
  <w:style w:type="paragraph" w:styleId="TOC7">
    <w:name w:val="toc 7"/>
    <w:basedOn w:val="Normal"/>
    <w:next w:val="Normal"/>
    <w:autoRedefine/>
    <w:semiHidden/>
    <w:rsid w:val="003D100E"/>
    <w:pPr>
      <w:ind w:left="1440"/>
    </w:pPr>
    <w:rPr>
      <w:sz w:val="20"/>
      <w:szCs w:val="20"/>
    </w:rPr>
  </w:style>
  <w:style w:type="paragraph" w:styleId="TOC8">
    <w:name w:val="toc 8"/>
    <w:basedOn w:val="Normal"/>
    <w:next w:val="Normal"/>
    <w:autoRedefine/>
    <w:semiHidden/>
    <w:rsid w:val="003D100E"/>
    <w:pPr>
      <w:ind w:left="1680"/>
    </w:pPr>
    <w:rPr>
      <w:sz w:val="20"/>
      <w:szCs w:val="20"/>
    </w:rPr>
  </w:style>
  <w:style w:type="paragraph" w:styleId="TOC9">
    <w:name w:val="toc 9"/>
    <w:basedOn w:val="Normal"/>
    <w:next w:val="Normal"/>
    <w:autoRedefine/>
    <w:semiHidden/>
    <w:rsid w:val="003D100E"/>
    <w:pPr>
      <w:ind w:left="1920"/>
    </w:pPr>
    <w:rPr>
      <w:sz w:val="20"/>
      <w:szCs w:val="20"/>
    </w:rPr>
  </w:style>
  <w:style w:type="paragraph" w:styleId="TOCHeading">
    <w:name w:val="TOC Heading"/>
    <w:basedOn w:val="Normal"/>
    <w:next w:val="Normal"/>
    <w:qFormat/>
    <w:rsid w:val="003D100E"/>
    <w:pPr>
      <w:spacing w:after="240"/>
    </w:pPr>
    <w:rPr>
      <w:rFonts w:ascii="Arial" w:hAnsi="Arial"/>
      <w:b/>
      <w:sz w:val="36"/>
      <w:szCs w:val="20"/>
    </w:rPr>
  </w:style>
  <w:style w:type="paragraph" w:customStyle="1" w:styleId="DocTitle">
    <w:name w:val="Doc Title"/>
    <w:basedOn w:val="Normal"/>
    <w:next w:val="Normal"/>
    <w:rsid w:val="003D100E"/>
    <w:pPr>
      <w:widowControl w:val="0"/>
      <w:spacing w:before="120"/>
      <w:ind w:left="1426" w:hanging="1426"/>
      <w:jc w:val="center"/>
    </w:pPr>
    <w:rPr>
      <w:rFonts w:ascii="Arial Black" w:hAnsi="Arial Black"/>
      <w:shadow/>
      <w:snapToGrid w:val="0"/>
      <w:sz w:val="64"/>
      <w:szCs w:val="20"/>
    </w:rPr>
  </w:style>
  <w:style w:type="paragraph" w:styleId="DocumentMap">
    <w:name w:val="Document Map"/>
    <w:basedOn w:val="Normal"/>
    <w:semiHidden/>
    <w:rsid w:val="003D100E"/>
    <w:pPr>
      <w:shd w:val="clear" w:color="auto" w:fill="000080"/>
    </w:pPr>
    <w:rPr>
      <w:rFonts w:ascii="Tahoma" w:hAnsi="Tahoma"/>
      <w:sz w:val="22"/>
      <w:szCs w:val="20"/>
    </w:rPr>
  </w:style>
  <w:style w:type="paragraph" w:styleId="BodyText2">
    <w:name w:val="Body Text 2"/>
    <w:basedOn w:val="Normal"/>
    <w:rsid w:val="003D100E"/>
    <w:pPr>
      <w:jc w:val="center"/>
    </w:pPr>
    <w:rPr>
      <w:rFonts w:ascii="Arial Narrow" w:hAnsi="Arial Narrow"/>
      <w:sz w:val="16"/>
      <w:szCs w:val="20"/>
    </w:rPr>
  </w:style>
  <w:style w:type="paragraph" w:customStyle="1" w:styleId="TableFootnote">
    <w:name w:val="Table Footnote"/>
    <w:basedOn w:val="Body"/>
    <w:rsid w:val="003D100E"/>
    <w:pPr>
      <w:tabs>
        <w:tab w:val="left" w:pos="1620"/>
      </w:tabs>
      <w:ind w:left="1620" w:hanging="180"/>
    </w:pPr>
    <w:rPr>
      <w:rFonts w:ascii="Arial" w:hAnsi="Arial"/>
      <w:sz w:val="18"/>
    </w:rPr>
  </w:style>
  <w:style w:type="paragraph" w:styleId="BodyTextIndent3">
    <w:name w:val="Body Text Indent 3"/>
    <w:basedOn w:val="Normal"/>
    <w:rsid w:val="003D100E"/>
    <w:pPr>
      <w:ind w:left="720"/>
    </w:pPr>
  </w:style>
  <w:style w:type="paragraph" w:customStyle="1" w:styleId="DSBodyText">
    <w:name w:val="DS Body Text"/>
    <w:rsid w:val="003D100E"/>
    <w:pPr>
      <w:numPr>
        <w:ilvl w:val="12"/>
      </w:numPr>
      <w:spacing w:after="240"/>
      <w:jc w:val="both"/>
    </w:pPr>
    <w:rPr>
      <w:rFonts w:ascii="Arial" w:hAnsi="Arial"/>
      <w:sz w:val="24"/>
    </w:rPr>
  </w:style>
  <w:style w:type="paragraph" w:customStyle="1" w:styleId="DSBullets">
    <w:name w:val="DS Bullets"/>
    <w:rsid w:val="003D100E"/>
    <w:pPr>
      <w:numPr>
        <w:numId w:val="7"/>
      </w:numPr>
      <w:tabs>
        <w:tab w:val="clear" w:pos="360"/>
        <w:tab w:val="num" w:pos="720"/>
      </w:tabs>
      <w:spacing w:after="60"/>
      <w:ind w:left="720" w:hanging="720"/>
      <w:jc w:val="both"/>
    </w:pPr>
    <w:rPr>
      <w:rFonts w:ascii="Arial" w:hAnsi="Arial"/>
      <w:sz w:val="24"/>
    </w:rPr>
  </w:style>
  <w:style w:type="paragraph" w:customStyle="1" w:styleId="dsbodytext0">
    <w:name w:val="dsbodytext"/>
    <w:basedOn w:val="Normal"/>
    <w:rsid w:val="003D100E"/>
    <w:pPr>
      <w:spacing w:before="100" w:beforeAutospacing="1" w:after="100" w:afterAutospacing="1"/>
    </w:pPr>
    <w:rPr>
      <w:rFonts w:ascii="Arial" w:hAnsi="Arial"/>
    </w:rPr>
  </w:style>
  <w:style w:type="character" w:styleId="Strong">
    <w:name w:val="Strong"/>
    <w:basedOn w:val="DefaultParagraphFont"/>
    <w:qFormat/>
    <w:rsid w:val="003D100E"/>
    <w:rPr>
      <w:b/>
      <w:bCs/>
    </w:rPr>
  </w:style>
  <w:style w:type="character" w:styleId="FollowedHyperlink">
    <w:name w:val="FollowedHyperlink"/>
    <w:basedOn w:val="DefaultParagraphFont"/>
    <w:rsid w:val="003D100E"/>
    <w:rPr>
      <w:color w:val="606420"/>
      <w:u w:val="single"/>
    </w:rPr>
  </w:style>
  <w:style w:type="paragraph" w:styleId="NormalWeb">
    <w:name w:val="Normal (Web)"/>
    <w:basedOn w:val="Normal"/>
    <w:rsid w:val="003D100E"/>
    <w:pPr>
      <w:spacing w:before="100" w:beforeAutospacing="1" w:after="100" w:afterAutospacing="1"/>
    </w:pPr>
  </w:style>
  <w:style w:type="character" w:styleId="Emphasis">
    <w:name w:val="Emphasis"/>
    <w:basedOn w:val="DefaultParagraphFont"/>
    <w:qFormat/>
    <w:rsid w:val="003D100E"/>
    <w:rPr>
      <w:i/>
      <w:iCs/>
    </w:rPr>
  </w:style>
  <w:style w:type="character" w:customStyle="1" w:styleId="MessageHeaderLabel">
    <w:name w:val="Message Header Label"/>
    <w:rsid w:val="003D100E"/>
    <w:rPr>
      <w:b/>
      <w:sz w:val="18"/>
    </w:rPr>
  </w:style>
  <w:style w:type="paragraph" w:styleId="MessageHeader">
    <w:name w:val="Message Header"/>
    <w:basedOn w:val="BodyText"/>
    <w:rsid w:val="003D100E"/>
    <w:pPr>
      <w:keepLines/>
      <w:spacing w:line="240" w:lineRule="atLeast"/>
      <w:ind w:left="1080" w:hanging="1080"/>
    </w:pPr>
    <w:rPr>
      <w:rFonts w:ascii="Garamond" w:hAnsi="Garamond"/>
      <w:caps/>
      <w:sz w:val="18"/>
    </w:rPr>
  </w:style>
  <w:style w:type="paragraph" w:customStyle="1" w:styleId="MessageHeaderFirst">
    <w:name w:val="Message Header First"/>
    <w:basedOn w:val="MessageHeader"/>
    <w:next w:val="MessageHeader"/>
    <w:rsid w:val="003D100E"/>
    <w:pPr>
      <w:spacing w:before="360"/>
    </w:pPr>
  </w:style>
  <w:style w:type="paragraph" w:customStyle="1" w:styleId="MessageHeaderLast">
    <w:name w:val="Message Header Last"/>
    <w:basedOn w:val="MessageHeader"/>
    <w:next w:val="BodyText"/>
    <w:rsid w:val="003D100E"/>
    <w:pPr>
      <w:pBdr>
        <w:bottom w:val="single" w:sz="6" w:space="18" w:color="808080"/>
      </w:pBdr>
      <w:spacing w:after="360"/>
    </w:pPr>
  </w:style>
  <w:style w:type="paragraph" w:customStyle="1" w:styleId="DocumentLabel">
    <w:name w:val="Document Label"/>
    <w:next w:val="Normal"/>
    <w:rsid w:val="003D100E"/>
    <w:pPr>
      <w:pBdr>
        <w:top w:val="double" w:sz="6" w:space="8" w:color="808080"/>
        <w:bottom w:val="double" w:sz="6" w:space="8" w:color="808080"/>
      </w:pBdr>
      <w:spacing w:after="40" w:line="240" w:lineRule="atLeast"/>
      <w:jc w:val="center"/>
    </w:pPr>
    <w:rPr>
      <w:rFonts w:ascii="Garamond" w:hAnsi="Garamond"/>
      <w:b/>
      <w:caps/>
      <w:spacing w:val="20"/>
      <w:sz w:val="18"/>
    </w:rPr>
  </w:style>
  <w:style w:type="paragraph" w:styleId="BalloonText">
    <w:name w:val="Balloon Text"/>
    <w:basedOn w:val="Normal"/>
    <w:semiHidden/>
    <w:rsid w:val="003D100E"/>
    <w:rPr>
      <w:rFonts w:ascii="Tahoma" w:hAnsi="Tahoma" w:cs="Tahoma"/>
      <w:sz w:val="16"/>
      <w:szCs w:val="16"/>
    </w:rPr>
  </w:style>
  <w:style w:type="paragraph" w:styleId="CommentText">
    <w:name w:val="annotation text"/>
    <w:basedOn w:val="Normal"/>
    <w:semiHidden/>
    <w:rsid w:val="003D100E"/>
    <w:rPr>
      <w:sz w:val="20"/>
      <w:szCs w:val="20"/>
    </w:rPr>
  </w:style>
  <w:style w:type="paragraph" w:styleId="CommentSubject">
    <w:name w:val="annotation subject"/>
    <w:basedOn w:val="CommentText"/>
    <w:next w:val="CommentText"/>
    <w:semiHidden/>
    <w:rsid w:val="003D100E"/>
    <w:rPr>
      <w:b/>
      <w:bCs/>
    </w:rPr>
  </w:style>
  <w:style w:type="paragraph" w:styleId="ListBullet">
    <w:name w:val="List Bullet"/>
    <w:basedOn w:val="Normal"/>
    <w:link w:val="ListBulletChar"/>
    <w:autoRedefine/>
    <w:rsid w:val="003D100E"/>
    <w:pPr>
      <w:tabs>
        <w:tab w:val="num" w:pos="360"/>
      </w:tabs>
      <w:ind w:left="360" w:hanging="360"/>
    </w:pPr>
    <w:rPr>
      <w:sz w:val="22"/>
      <w:szCs w:val="20"/>
    </w:rPr>
  </w:style>
  <w:style w:type="character" w:customStyle="1" w:styleId="ListBulletChar">
    <w:name w:val="List Bullet Char"/>
    <w:basedOn w:val="DefaultParagraphFont"/>
    <w:link w:val="ListBullet"/>
    <w:rsid w:val="003D100E"/>
    <w:rPr>
      <w:sz w:val="22"/>
      <w:lang w:val="en-US" w:eastAsia="en-US" w:bidi="ar-SA"/>
    </w:rPr>
  </w:style>
  <w:style w:type="paragraph" w:styleId="BodyTextIndent">
    <w:name w:val="Body Text Indent"/>
    <w:basedOn w:val="Normal"/>
    <w:rsid w:val="003D100E"/>
    <w:pPr>
      <w:spacing w:after="120"/>
      <w:ind w:left="360"/>
    </w:pPr>
    <w:rPr>
      <w:sz w:val="22"/>
      <w:szCs w:val="20"/>
    </w:rPr>
  </w:style>
  <w:style w:type="paragraph" w:styleId="Title">
    <w:name w:val="Title"/>
    <w:basedOn w:val="Normal"/>
    <w:qFormat/>
    <w:rsid w:val="003D100E"/>
    <w:pPr>
      <w:jc w:val="center"/>
    </w:pPr>
    <w:rPr>
      <w:sz w:val="72"/>
    </w:rPr>
  </w:style>
  <w:style w:type="character" w:customStyle="1" w:styleId="bigpagetext">
    <w:name w:val="bigpagetext"/>
    <w:basedOn w:val="DefaultParagraphFont"/>
    <w:rsid w:val="003D100E"/>
  </w:style>
  <w:style w:type="paragraph" w:customStyle="1" w:styleId="1Name">
    <w:name w:val="1 Name"/>
    <w:basedOn w:val="Normal"/>
    <w:rsid w:val="003D100E"/>
    <w:pPr>
      <w:keepNext/>
      <w:keepLines/>
    </w:pPr>
    <w:rPr>
      <w:b/>
      <w:bCs/>
    </w:rPr>
  </w:style>
  <w:style w:type="paragraph" w:customStyle="1" w:styleId="2PositionTitle">
    <w:name w:val="2 Position Title"/>
    <w:basedOn w:val="BodyText"/>
    <w:rsid w:val="003D100E"/>
    <w:pPr>
      <w:keepNext/>
      <w:keepLines/>
      <w:spacing w:after="0"/>
    </w:pPr>
    <w:rPr>
      <w:i/>
      <w:iCs/>
      <w:sz w:val="24"/>
      <w:szCs w:val="24"/>
    </w:rPr>
  </w:style>
  <w:style w:type="paragraph" w:customStyle="1" w:styleId="3InfoParagraph">
    <w:name w:val="3 Info Paragraph"/>
    <w:basedOn w:val="BodyText2"/>
    <w:rsid w:val="003D100E"/>
    <w:pPr>
      <w:spacing w:before="120"/>
      <w:jc w:val="both"/>
    </w:pPr>
    <w:rPr>
      <w:rFonts w:ascii="Times New Roman" w:hAnsi="Times New Roman"/>
      <w:sz w:val="20"/>
      <w:szCs w:val="24"/>
    </w:rPr>
  </w:style>
  <w:style w:type="paragraph" w:styleId="z-TopofForm">
    <w:name w:val="HTML Top of Form"/>
    <w:basedOn w:val="Normal"/>
    <w:next w:val="Normal"/>
    <w:hidden/>
    <w:rsid w:val="003D100E"/>
    <w:pPr>
      <w:pBdr>
        <w:bottom w:val="single" w:sz="6" w:space="1" w:color="auto"/>
      </w:pBdr>
      <w:jc w:val="center"/>
    </w:pPr>
    <w:rPr>
      <w:rFonts w:ascii="Arial" w:hAnsi="Arial" w:cs="Arial"/>
      <w:vanish/>
      <w:sz w:val="16"/>
      <w:szCs w:val="16"/>
    </w:rPr>
  </w:style>
  <w:style w:type="character" w:customStyle="1" w:styleId="smalltext1">
    <w:name w:val="smalltext1"/>
    <w:basedOn w:val="DefaultParagraphFont"/>
    <w:rsid w:val="003D100E"/>
    <w:rPr>
      <w:rFonts w:ascii="Arial" w:hAnsi="Arial" w:cs="Arial" w:hint="default"/>
      <w:b w:val="0"/>
      <w:bCs w:val="0"/>
      <w:sz w:val="17"/>
      <w:szCs w:val="17"/>
    </w:rPr>
  </w:style>
  <w:style w:type="paragraph" w:styleId="z-BottomofForm">
    <w:name w:val="HTML Bottom of Form"/>
    <w:basedOn w:val="Normal"/>
    <w:next w:val="Normal"/>
    <w:hidden/>
    <w:rsid w:val="003D100E"/>
    <w:pPr>
      <w:pBdr>
        <w:top w:val="single" w:sz="6" w:space="1" w:color="auto"/>
      </w:pBdr>
      <w:jc w:val="center"/>
    </w:pPr>
    <w:rPr>
      <w:rFonts w:ascii="Arial" w:hAnsi="Arial" w:cs="Arial"/>
      <w:vanish/>
      <w:sz w:val="16"/>
      <w:szCs w:val="16"/>
    </w:rPr>
  </w:style>
  <w:style w:type="numbering" w:styleId="111111">
    <w:name w:val="Outline List 2"/>
    <w:basedOn w:val="NoList"/>
    <w:rsid w:val="00992A75"/>
  </w:style>
  <w:style w:type="character" w:customStyle="1" w:styleId="Heading2Char">
    <w:name w:val="Heading 2 Char"/>
    <w:basedOn w:val="DefaultParagraphFont"/>
    <w:link w:val="Heading2"/>
    <w:rsid w:val="00A90E3D"/>
    <w:rPr>
      <w:rFonts w:ascii="Arial" w:hAnsi="Arial" w:cs="Arial"/>
      <w:b/>
      <w:bCs/>
      <w:i/>
      <w:iCs/>
      <w:sz w:val="28"/>
      <w:szCs w:val="28"/>
      <w:lang w:val="en-US" w:eastAsia="en-US" w:bidi="ar-SA"/>
    </w:rPr>
  </w:style>
  <w:style w:type="paragraph" w:styleId="PlainText">
    <w:name w:val="Plain Text"/>
    <w:basedOn w:val="Normal"/>
    <w:rsid w:val="000202C0"/>
    <w:rPr>
      <w:rFonts w:ascii="Courier New" w:hAnsi="Courier New" w:cs="Courier New"/>
      <w:sz w:val="20"/>
      <w:szCs w:val="20"/>
    </w:rPr>
  </w:style>
  <w:style w:type="character" w:customStyle="1" w:styleId="Heading3Char">
    <w:name w:val="Heading 3 Char"/>
    <w:basedOn w:val="DefaultParagraphFont"/>
    <w:link w:val="Heading3"/>
    <w:rsid w:val="009E5CA2"/>
    <w:rPr>
      <w:rFonts w:ascii="Arial" w:hAnsi="Arial" w:cs="Arial"/>
      <w:b/>
      <w:bCs/>
      <w:sz w:val="26"/>
      <w:szCs w:val="26"/>
      <w:lang w:val="en-US" w:eastAsia="en-US" w:bidi="ar-SA"/>
    </w:rPr>
  </w:style>
  <w:style w:type="character" w:styleId="CommentReference">
    <w:name w:val="annotation reference"/>
    <w:basedOn w:val="DefaultParagraphFont"/>
    <w:semiHidden/>
    <w:rsid w:val="002717CC"/>
    <w:rPr>
      <w:sz w:val="16"/>
      <w:szCs w:val="16"/>
    </w:rPr>
  </w:style>
  <w:style w:type="numbering" w:styleId="1ai">
    <w:name w:val="Outline List 1"/>
    <w:basedOn w:val="NoList"/>
    <w:rsid w:val="007041B3"/>
    <w:pPr>
      <w:numPr>
        <w:numId w:val="12"/>
      </w:numPr>
    </w:pPr>
  </w:style>
  <w:style w:type="paragraph" w:styleId="ListParagraph">
    <w:name w:val="List Paragraph"/>
    <w:basedOn w:val="Normal"/>
    <w:uiPriority w:val="34"/>
    <w:qFormat/>
    <w:rsid w:val="00A24081"/>
    <w:pPr>
      <w:ind w:left="720"/>
      <w:contextualSpacing/>
    </w:pPr>
  </w:style>
  <w:style w:type="paragraph" w:customStyle="1" w:styleId="Paragraph1">
    <w:name w:val="Paragraph 1"/>
    <w:basedOn w:val="Normal"/>
    <w:rsid w:val="0064557D"/>
    <w:pPr>
      <w:numPr>
        <w:numId w:val="18"/>
      </w:numPr>
      <w:spacing w:before="120" w:after="120"/>
      <w:jc w:val="both"/>
    </w:pPr>
    <w:rPr>
      <w:rFonts w:ascii="Century" w:eastAsia="Calibri" w:hAnsi="Century"/>
    </w:rPr>
  </w:style>
  <w:style w:type="paragraph" w:customStyle="1" w:styleId="Paragraph2">
    <w:name w:val="Paragraph 2"/>
    <w:basedOn w:val="Normal"/>
    <w:rsid w:val="0064557D"/>
    <w:pPr>
      <w:numPr>
        <w:ilvl w:val="1"/>
        <w:numId w:val="18"/>
      </w:numPr>
      <w:spacing w:after="120"/>
      <w:jc w:val="both"/>
    </w:pPr>
    <w:rPr>
      <w:rFonts w:ascii="Century" w:eastAsia="Calibri" w:hAnsi="Century"/>
    </w:rPr>
  </w:style>
  <w:style w:type="paragraph" w:customStyle="1" w:styleId="Paragraph3">
    <w:name w:val="Paragraph 3"/>
    <w:basedOn w:val="Normal"/>
    <w:rsid w:val="0064557D"/>
    <w:pPr>
      <w:numPr>
        <w:ilvl w:val="2"/>
        <w:numId w:val="18"/>
      </w:numPr>
      <w:spacing w:after="120"/>
      <w:jc w:val="both"/>
    </w:pPr>
    <w:rPr>
      <w:rFonts w:ascii="Century" w:eastAsia="Calibri" w:hAnsi="Century"/>
    </w:rPr>
  </w:style>
  <w:style w:type="paragraph" w:customStyle="1" w:styleId="BlockLabel">
    <w:name w:val="Block Label"/>
    <w:basedOn w:val="Normal"/>
    <w:next w:val="Normal"/>
    <w:rsid w:val="00CA4135"/>
    <w:pPr>
      <w:overflowPunct w:val="0"/>
      <w:autoSpaceDE w:val="0"/>
      <w:autoSpaceDN w:val="0"/>
      <w:adjustRightInd w:val="0"/>
      <w:textAlignment w:val="baseline"/>
    </w:pPr>
    <w:rPr>
      <w:b/>
      <w:sz w:val="22"/>
      <w:szCs w:val="20"/>
    </w:rPr>
  </w:style>
  <w:style w:type="paragraph" w:customStyle="1" w:styleId="BlockLine">
    <w:name w:val="Block Line"/>
    <w:basedOn w:val="Normal"/>
    <w:next w:val="Normal"/>
    <w:rsid w:val="00CA4135"/>
    <w:pPr>
      <w:pBdr>
        <w:top w:val="single" w:sz="6" w:space="1" w:color="auto"/>
        <w:between w:val="single" w:sz="6" w:space="1" w:color="auto"/>
      </w:pBdr>
      <w:overflowPunct w:val="0"/>
      <w:autoSpaceDE w:val="0"/>
      <w:autoSpaceDN w:val="0"/>
      <w:adjustRightInd w:val="0"/>
      <w:spacing w:before="240"/>
      <w:ind w:left="1700"/>
      <w:textAlignment w:val="baseline"/>
    </w:pPr>
    <w:rPr>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482137">
      <w:bodyDiv w:val="1"/>
      <w:marLeft w:val="0"/>
      <w:marRight w:val="0"/>
      <w:marTop w:val="0"/>
      <w:marBottom w:val="0"/>
      <w:divBdr>
        <w:top w:val="none" w:sz="0" w:space="0" w:color="auto"/>
        <w:left w:val="none" w:sz="0" w:space="0" w:color="auto"/>
        <w:bottom w:val="none" w:sz="0" w:space="0" w:color="auto"/>
        <w:right w:val="none" w:sz="0" w:space="0" w:color="auto"/>
      </w:divBdr>
    </w:div>
    <w:div w:id="349844711">
      <w:bodyDiv w:val="1"/>
      <w:marLeft w:val="0"/>
      <w:marRight w:val="0"/>
      <w:marTop w:val="0"/>
      <w:marBottom w:val="0"/>
      <w:divBdr>
        <w:top w:val="none" w:sz="0" w:space="0" w:color="auto"/>
        <w:left w:val="none" w:sz="0" w:space="0" w:color="auto"/>
        <w:bottom w:val="none" w:sz="0" w:space="0" w:color="auto"/>
        <w:right w:val="none" w:sz="0" w:space="0" w:color="auto"/>
      </w:divBdr>
    </w:div>
    <w:div w:id="432242520">
      <w:bodyDiv w:val="1"/>
      <w:marLeft w:val="0"/>
      <w:marRight w:val="0"/>
      <w:marTop w:val="0"/>
      <w:marBottom w:val="0"/>
      <w:divBdr>
        <w:top w:val="none" w:sz="0" w:space="0" w:color="auto"/>
        <w:left w:val="none" w:sz="0" w:space="0" w:color="auto"/>
        <w:bottom w:val="none" w:sz="0" w:space="0" w:color="auto"/>
        <w:right w:val="none" w:sz="0" w:space="0" w:color="auto"/>
      </w:divBdr>
      <w:divsChild>
        <w:div w:id="335959901">
          <w:marLeft w:val="720"/>
          <w:marRight w:val="0"/>
          <w:marTop w:val="58"/>
          <w:marBottom w:val="144"/>
          <w:divBdr>
            <w:top w:val="none" w:sz="0" w:space="0" w:color="auto"/>
            <w:left w:val="none" w:sz="0" w:space="0" w:color="auto"/>
            <w:bottom w:val="none" w:sz="0" w:space="0" w:color="auto"/>
            <w:right w:val="none" w:sz="0" w:space="0" w:color="auto"/>
          </w:divBdr>
        </w:div>
        <w:div w:id="600845775">
          <w:marLeft w:val="720"/>
          <w:marRight w:val="0"/>
          <w:marTop w:val="58"/>
          <w:marBottom w:val="144"/>
          <w:divBdr>
            <w:top w:val="none" w:sz="0" w:space="0" w:color="auto"/>
            <w:left w:val="none" w:sz="0" w:space="0" w:color="auto"/>
            <w:bottom w:val="none" w:sz="0" w:space="0" w:color="auto"/>
            <w:right w:val="none" w:sz="0" w:space="0" w:color="auto"/>
          </w:divBdr>
        </w:div>
        <w:div w:id="684601751">
          <w:marLeft w:val="720"/>
          <w:marRight w:val="0"/>
          <w:marTop w:val="58"/>
          <w:marBottom w:val="144"/>
          <w:divBdr>
            <w:top w:val="none" w:sz="0" w:space="0" w:color="auto"/>
            <w:left w:val="none" w:sz="0" w:space="0" w:color="auto"/>
            <w:bottom w:val="none" w:sz="0" w:space="0" w:color="auto"/>
            <w:right w:val="none" w:sz="0" w:space="0" w:color="auto"/>
          </w:divBdr>
        </w:div>
        <w:div w:id="949700644">
          <w:marLeft w:val="720"/>
          <w:marRight w:val="0"/>
          <w:marTop w:val="58"/>
          <w:marBottom w:val="144"/>
          <w:divBdr>
            <w:top w:val="none" w:sz="0" w:space="0" w:color="auto"/>
            <w:left w:val="none" w:sz="0" w:space="0" w:color="auto"/>
            <w:bottom w:val="none" w:sz="0" w:space="0" w:color="auto"/>
            <w:right w:val="none" w:sz="0" w:space="0" w:color="auto"/>
          </w:divBdr>
        </w:div>
        <w:div w:id="1699348951">
          <w:marLeft w:val="720"/>
          <w:marRight w:val="0"/>
          <w:marTop w:val="58"/>
          <w:marBottom w:val="144"/>
          <w:divBdr>
            <w:top w:val="none" w:sz="0" w:space="0" w:color="auto"/>
            <w:left w:val="none" w:sz="0" w:space="0" w:color="auto"/>
            <w:bottom w:val="none" w:sz="0" w:space="0" w:color="auto"/>
            <w:right w:val="none" w:sz="0" w:space="0" w:color="auto"/>
          </w:divBdr>
        </w:div>
      </w:divsChild>
    </w:div>
    <w:div w:id="1484080657">
      <w:bodyDiv w:val="1"/>
      <w:marLeft w:val="0"/>
      <w:marRight w:val="0"/>
      <w:marTop w:val="0"/>
      <w:marBottom w:val="0"/>
      <w:divBdr>
        <w:top w:val="none" w:sz="0" w:space="0" w:color="auto"/>
        <w:left w:val="none" w:sz="0" w:space="0" w:color="auto"/>
        <w:bottom w:val="none" w:sz="0" w:space="0" w:color="auto"/>
        <w:right w:val="none" w:sz="0" w:space="0" w:color="auto"/>
      </w:divBdr>
      <w:divsChild>
        <w:div w:id="261574573">
          <w:marLeft w:val="720"/>
          <w:marRight w:val="0"/>
          <w:marTop w:val="58"/>
          <w:marBottom w:val="144"/>
          <w:divBdr>
            <w:top w:val="none" w:sz="0" w:space="0" w:color="auto"/>
            <w:left w:val="none" w:sz="0" w:space="0" w:color="auto"/>
            <w:bottom w:val="none" w:sz="0" w:space="0" w:color="auto"/>
            <w:right w:val="none" w:sz="0" w:space="0" w:color="auto"/>
          </w:divBdr>
        </w:div>
        <w:div w:id="654798332">
          <w:marLeft w:val="720"/>
          <w:marRight w:val="0"/>
          <w:marTop w:val="58"/>
          <w:marBottom w:val="144"/>
          <w:divBdr>
            <w:top w:val="none" w:sz="0" w:space="0" w:color="auto"/>
            <w:left w:val="none" w:sz="0" w:space="0" w:color="auto"/>
            <w:bottom w:val="none" w:sz="0" w:space="0" w:color="auto"/>
            <w:right w:val="none" w:sz="0" w:space="0" w:color="auto"/>
          </w:divBdr>
        </w:div>
        <w:div w:id="795610472">
          <w:marLeft w:val="720"/>
          <w:marRight w:val="0"/>
          <w:marTop w:val="58"/>
          <w:marBottom w:val="144"/>
          <w:divBdr>
            <w:top w:val="none" w:sz="0" w:space="0" w:color="auto"/>
            <w:left w:val="none" w:sz="0" w:space="0" w:color="auto"/>
            <w:bottom w:val="none" w:sz="0" w:space="0" w:color="auto"/>
            <w:right w:val="none" w:sz="0" w:space="0" w:color="auto"/>
          </w:divBdr>
        </w:div>
        <w:div w:id="959335300">
          <w:marLeft w:val="720"/>
          <w:marRight w:val="0"/>
          <w:marTop w:val="58"/>
          <w:marBottom w:val="144"/>
          <w:divBdr>
            <w:top w:val="none" w:sz="0" w:space="0" w:color="auto"/>
            <w:left w:val="none" w:sz="0" w:space="0" w:color="auto"/>
            <w:bottom w:val="none" w:sz="0" w:space="0" w:color="auto"/>
            <w:right w:val="none" w:sz="0" w:space="0" w:color="auto"/>
          </w:divBdr>
        </w:div>
        <w:div w:id="990141231">
          <w:marLeft w:val="720"/>
          <w:marRight w:val="0"/>
          <w:marTop w:val="58"/>
          <w:marBottom w:val="144"/>
          <w:divBdr>
            <w:top w:val="none" w:sz="0" w:space="0" w:color="auto"/>
            <w:left w:val="none" w:sz="0" w:space="0" w:color="auto"/>
            <w:bottom w:val="none" w:sz="0" w:space="0" w:color="auto"/>
            <w:right w:val="none" w:sz="0" w:space="0" w:color="auto"/>
          </w:divBdr>
        </w:div>
        <w:div w:id="1134131216">
          <w:marLeft w:val="720"/>
          <w:marRight w:val="0"/>
          <w:marTop w:val="58"/>
          <w:marBottom w:val="144"/>
          <w:divBdr>
            <w:top w:val="none" w:sz="0" w:space="0" w:color="auto"/>
            <w:left w:val="none" w:sz="0" w:space="0" w:color="auto"/>
            <w:bottom w:val="none" w:sz="0" w:space="0" w:color="auto"/>
            <w:right w:val="none" w:sz="0" w:space="0" w:color="auto"/>
          </w:divBdr>
        </w:div>
      </w:divsChild>
    </w:div>
    <w:div w:id="1496611493">
      <w:bodyDiv w:val="1"/>
      <w:marLeft w:val="0"/>
      <w:marRight w:val="0"/>
      <w:marTop w:val="0"/>
      <w:marBottom w:val="0"/>
      <w:divBdr>
        <w:top w:val="none" w:sz="0" w:space="0" w:color="auto"/>
        <w:left w:val="none" w:sz="0" w:space="0" w:color="auto"/>
        <w:bottom w:val="none" w:sz="0" w:space="0" w:color="auto"/>
        <w:right w:val="none" w:sz="0" w:space="0" w:color="auto"/>
      </w:divBdr>
      <w:divsChild>
        <w:div w:id="674847770">
          <w:marLeft w:val="720"/>
          <w:marRight w:val="0"/>
          <w:marTop w:val="58"/>
          <w:marBottom w:val="144"/>
          <w:divBdr>
            <w:top w:val="none" w:sz="0" w:space="0" w:color="auto"/>
            <w:left w:val="none" w:sz="0" w:space="0" w:color="auto"/>
            <w:bottom w:val="none" w:sz="0" w:space="0" w:color="auto"/>
            <w:right w:val="none" w:sz="0" w:space="0" w:color="auto"/>
          </w:divBdr>
        </w:div>
        <w:div w:id="900798041">
          <w:marLeft w:val="720"/>
          <w:marRight w:val="0"/>
          <w:marTop w:val="58"/>
          <w:marBottom w:val="144"/>
          <w:divBdr>
            <w:top w:val="none" w:sz="0" w:space="0" w:color="auto"/>
            <w:left w:val="none" w:sz="0" w:space="0" w:color="auto"/>
            <w:bottom w:val="none" w:sz="0" w:space="0" w:color="auto"/>
            <w:right w:val="none" w:sz="0" w:space="0" w:color="auto"/>
          </w:divBdr>
        </w:div>
        <w:div w:id="1793744044">
          <w:marLeft w:val="720"/>
          <w:marRight w:val="0"/>
          <w:marTop w:val="58"/>
          <w:marBottom w:val="144"/>
          <w:divBdr>
            <w:top w:val="none" w:sz="0" w:space="0" w:color="auto"/>
            <w:left w:val="none" w:sz="0" w:space="0" w:color="auto"/>
            <w:bottom w:val="none" w:sz="0" w:space="0" w:color="auto"/>
            <w:right w:val="none" w:sz="0" w:space="0" w:color="auto"/>
          </w:divBdr>
        </w:div>
        <w:div w:id="1810976905">
          <w:marLeft w:val="720"/>
          <w:marRight w:val="0"/>
          <w:marTop w:val="58"/>
          <w:marBottom w:val="144"/>
          <w:divBdr>
            <w:top w:val="none" w:sz="0" w:space="0" w:color="auto"/>
            <w:left w:val="none" w:sz="0" w:space="0" w:color="auto"/>
            <w:bottom w:val="none" w:sz="0" w:space="0" w:color="auto"/>
            <w:right w:val="none" w:sz="0" w:space="0" w:color="auto"/>
          </w:divBdr>
        </w:div>
        <w:div w:id="1918711950">
          <w:marLeft w:val="720"/>
          <w:marRight w:val="0"/>
          <w:marTop w:val="58"/>
          <w:marBottom w:val="144"/>
          <w:divBdr>
            <w:top w:val="none" w:sz="0" w:space="0" w:color="auto"/>
            <w:left w:val="none" w:sz="0" w:space="0" w:color="auto"/>
            <w:bottom w:val="none" w:sz="0" w:space="0" w:color="auto"/>
            <w:right w:val="none" w:sz="0" w:space="0" w:color="auto"/>
          </w:divBdr>
        </w:div>
      </w:divsChild>
    </w:div>
    <w:div w:id="2014649293">
      <w:bodyDiv w:val="1"/>
      <w:marLeft w:val="0"/>
      <w:marRight w:val="0"/>
      <w:marTop w:val="0"/>
      <w:marBottom w:val="0"/>
      <w:divBdr>
        <w:top w:val="none" w:sz="0" w:space="0" w:color="auto"/>
        <w:left w:val="none" w:sz="0" w:space="0" w:color="auto"/>
        <w:bottom w:val="none" w:sz="0" w:space="0" w:color="auto"/>
        <w:right w:val="none" w:sz="0" w:space="0" w:color="auto"/>
      </w:divBdr>
      <w:divsChild>
        <w:div w:id="139468171">
          <w:marLeft w:val="1267"/>
          <w:marRight w:val="0"/>
          <w:marTop w:val="77"/>
          <w:marBottom w:val="192"/>
          <w:divBdr>
            <w:top w:val="none" w:sz="0" w:space="0" w:color="auto"/>
            <w:left w:val="none" w:sz="0" w:space="0" w:color="auto"/>
            <w:bottom w:val="none" w:sz="0" w:space="0" w:color="auto"/>
            <w:right w:val="none" w:sz="0" w:space="0" w:color="auto"/>
          </w:divBdr>
        </w:div>
        <w:div w:id="1081562657">
          <w:marLeft w:val="1267"/>
          <w:marRight w:val="0"/>
          <w:marTop w:val="77"/>
          <w:marBottom w:val="192"/>
          <w:divBdr>
            <w:top w:val="none" w:sz="0" w:space="0" w:color="auto"/>
            <w:left w:val="none" w:sz="0" w:space="0" w:color="auto"/>
            <w:bottom w:val="none" w:sz="0" w:space="0" w:color="auto"/>
            <w:right w:val="none" w:sz="0" w:space="0" w:color="auto"/>
          </w:divBdr>
        </w:div>
        <w:div w:id="1123423794">
          <w:marLeft w:val="1267"/>
          <w:marRight w:val="0"/>
          <w:marTop w:val="77"/>
          <w:marBottom w:val="192"/>
          <w:divBdr>
            <w:top w:val="none" w:sz="0" w:space="0" w:color="auto"/>
            <w:left w:val="none" w:sz="0" w:space="0" w:color="auto"/>
            <w:bottom w:val="none" w:sz="0" w:space="0" w:color="auto"/>
            <w:right w:val="none" w:sz="0" w:space="0" w:color="auto"/>
          </w:divBdr>
        </w:div>
        <w:div w:id="1997224857">
          <w:marLeft w:val="1267"/>
          <w:marRight w:val="0"/>
          <w:marTop w:val="77"/>
          <w:marBottom w:val="192"/>
          <w:divBdr>
            <w:top w:val="none" w:sz="0" w:space="0" w:color="auto"/>
            <w:left w:val="none" w:sz="0" w:space="0" w:color="auto"/>
            <w:bottom w:val="none" w:sz="0" w:space="0" w:color="auto"/>
            <w:right w:val="none" w:sz="0" w:space="0" w:color="auto"/>
          </w:divBdr>
        </w:div>
      </w:divsChild>
    </w:div>
    <w:div w:id="2043898103">
      <w:bodyDiv w:val="1"/>
      <w:marLeft w:val="0"/>
      <w:marRight w:val="0"/>
      <w:marTop w:val="0"/>
      <w:marBottom w:val="0"/>
      <w:divBdr>
        <w:top w:val="none" w:sz="0" w:space="0" w:color="auto"/>
        <w:left w:val="none" w:sz="0" w:space="0" w:color="auto"/>
        <w:bottom w:val="none" w:sz="0" w:space="0" w:color="auto"/>
        <w:right w:val="none" w:sz="0" w:space="0" w:color="auto"/>
      </w:divBdr>
      <w:divsChild>
        <w:div w:id="760874379">
          <w:marLeft w:val="1166"/>
          <w:marRight w:val="0"/>
          <w:marTop w:val="86"/>
          <w:marBottom w:val="0"/>
          <w:divBdr>
            <w:top w:val="none" w:sz="0" w:space="0" w:color="auto"/>
            <w:left w:val="none" w:sz="0" w:space="0" w:color="auto"/>
            <w:bottom w:val="none" w:sz="0" w:space="0" w:color="auto"/>
            <w:right w:val="none" w:sz="0" w:space="0" w:color="auto"/>
          </w:divBdr>
        </w:div>
        <w:div w:id="1005741511">
          <w:marLeft w:val="1800"/>
          <w:marRight w:val="0"/>
          <w:marTop w:val="67"/>
          <w:marBottom w:val="0"/>
          <w:divBdr>
            <w:top w:val="none" w:sz="0" w:space="0" w:color="auto"/>
            <w:left w:val="none" w:sz="0" w:space="0" w:color="auto"/>
            <w:bottom w:val="none" w:sz="0" w:space="0" w:color="auto"/>
            <w:right w:val="none" w:sz="0" w:space="0" w:color="auto"/>
          </w:divBdr>
        </w:div>
        <w:div w:id="759375278">
          <w:marLeft w:val="1166"/>
          <w:marRight w:val="0"/>
          <w:marTop w:val="86"/>
          <w:marBottom w:val="0"/>
          <w:divBdr>
            <w:top w:val="none" w:sz="0" w:space="0" w:color="auto"/>
            <w:left w:val="none" w:sz="0" w:space="0" w:color="auto"/>
            <w:bottom w:val="none" w:sz="0" w:space="0" w:color="auto"/>
            <w:right w:val="none" w:sz="0" w:space="0" w:color="auto"/>
          </w:divBdr>
        </w:div>
        <w:div w:id="295453255">
          <w:marLeft w:val="1800"/>
          <w:marRight w:val="0"/>
          <w:marTop w:val="67"/>
          <w:marBottom w:val="0"/>
          <w:divBdr>
            <w:top w:val="none" w:sz="0" w:space="0" w:color="auto"/>
            <w:left w:val="none" w:sz="0" w:space="0" w:color="auto"/>
            <w:bottom w:val="none" w:sz="0" w:space="0" w:color="auto"/>
            <w:right w:val="none" w:sz="0" w:space="0" w:color="auto"/>
          </w:divBdr>
        </w:div>
        <w:div w:id="916204795">
          <w:marLeft w:val="1800"/>
          <w:marRight w:val="0"/>
          <w:marTop w:val="67"/>
          <w:marBottom w:val="0"/>
          <w:divBdr>
            <w:top w:val="none" w:sz="0" w:space="0" w:color="auto"/>
            <w:left w:val="none" w:sz="0" w:space="0" w:color="auto"/>
            <w:bottom w:val="none" w:sz="0" w:space="0" w:color="auto"/>
            <w:right w:val="none" w:sz="0" w:space="0" w:color="auto"/>
          </w:divBdr>
        </w:div>
        <w:div w:id="806046149">
          <w:marLeft w:val="1166"/>
          <w:marRight w:val="0"/>
          <w:marTop w:val="86"/>
          <w:marBottom w:val="0"/>
          <w:divBdr>
            <w:top w:val="none" w:sz="0" w:space="0" w:color="auto"/>
            <w:left w:val="none" w:sz="0" w:space="0" w:color="auto"/>
            <w:bottom w:val="none" w:sz="0" w:space="0" w:color="auto"/>
            <w:right w:val="none" w:sz="0" w:space="0" w:color="auto"/>
          </w:divBdr>
        </w:div>
        <w:div w:id="707409182">
          <w:marLeft w:val="1800"/>
          <w:marRight w:val="0"/>
          <w:marTop w:val="58"/>
          <w:marBottom w:val="0"/>
          <w:divBdr>
            <w:top w:val="none" w:sz="0" w:space="0" w:color="auto"/>
            <w:left w:val="none" w:sz="0" w:space="0" w:color="auto"/>
            <w:bottom w:val="none" w:sz="0" w:space="0" w:color="auto"/>
            <w:right w:val="none" w:sz="0" w:space="0" w:color="auto"/>
          </w:divBdr>
        </w:div>
        <w:div w:id="1753039739">
          <w:marLeft w:val="1800"/>
          <w:marRight w:val="0"/>
          <w:marTop w:val="58"/>
          <w:marBottom w:val="0"/>
          <w:divBdr>
            <w:top w:val="none" w:sz="0" w:space="0" w:color="auto"/>
            <w:left w:val="none" w:sz="0" w:space="0" w:color="auto"/>
            <w:bottom w:val="none" w:sz="0" w:space="0" w:color="auto"/>
            <w:right w:val="none" w:sz="0" w:space="0" w:color="auto"/>
          </w:divBdr>
        </w:div>
        <w:div w:id="1476527630">
          <w:marLeft w:val="1166"/>
          <w:marRight w:val="0"/>
          <w:marTop w:val="86"/>
          <w:marBottom w:val="0"/>
          <w:divBdr>
            <w:top w:val="none" w:sz="0" w:space="0" w:color="auto"/>
            <w:left w:val="none" w:sz="0" w:space="0" w:color="auto"/>
            <w:bottom w:val="none" w:sz="0" w:space="0" w:color="auto"/>
            <w:right w:val="none" w:sz="0" w:space="0" w:color="auto"/>
          </w:divBdr>
        </w:div>
        <w:div w:id="1414279417">
          <w:marLeft w:val="1800"/>
          <w:marRight w:val="0"/>
          <w:marTop w:val="58"/>
          <w:marBottom w:val="0"/>
          <w:divBdr>
            <w:top w:val="none" w:sz="0" w:space="0" w:color="auto"/>
            <w:left w:val="none" w:sz="0" w:space="0" w:color="auto"/>
            <w:bottom w:val="none" w:sz="0" w:space="0" w:color="auto"/>
            <w:right w:val="none" w:sz="0" w:space="0" w:color="auto"/>
          </w:divBdr>
        </w:div>
        <w:div w:id="1764065083">
          <w:marLeft w:val="1800"/>
          <w:marRight w:val="0"/>
          <w:marTop w:val="58"/>
          <w:marBottom w:val="0"/>
          <w:divBdr>
            <w:top w:val="none" w:sz="0" w:space="0" w:color="auto"/>
            <w:left w:val="none" w:sz="0" w:space="0" w:color="auto"/>
            <w:bottom w:val="none" w:sz="0" w:space="0" w:color="auto"/>
            <w:right w:val="none" w:sz="0" w:space="0" w:color="auto"/>
          </w:divBdr>
        </w:div>
        <w:div w:id="495849412">
          <w:marLeft w:val="1800"/>
          <w:marRight w:val="0"/>
          <w:marTop w:val="58"/>
          <w:marBottom w:val="0"/>
          <w:divBdr>
            <w:top w:val="none" w:sz="0" w:space="0" w:color="auto"/>
            <w:left w:val="none" w:sz="0" w:space="0" w:color="auto"/>
            <w:bottom w:val="none" w:sz="0" w:space="0" w:color="auto"/>
            <w:right w:val="none" w:sz="0" w:space="0" w:color="auto"/>
          </w:divBdr>
        </w:div>
        <w:div w:id="1322391896">
          <w:marLeft w:val="1800"/>
          <w:marRight w:val="0"/>
          <w:marTop w:val="58"/>
          <w:marBottom w:val="0"/>
          <w:divBdr>
            <w:top w:val="none" w:sz="0" w:space="0" w:color="auto"/>
            <w:left w:val="none" w:sz="0" w:space="0" w:color="auto"/>
            <w:bottom w:val="none" w:sz="0" w:space="0" w:color="auto"/>
            <w:right w:val="none" w:sz="0" w:space="0" w:color="auto"/>
          </w:divBdr>
        </w:div>
        <w:div w:id="1165392295">
          <w:marLeft w:val="1166"/>
          <w:marRight w:val="0"/>
          <w:marTop w:val="86"/>
          <w:marBottom w:val="0"/>
          <w:divBdr>
            <w:top w:val="none" w:sz="0" w:space="0" w:color="auto"/>
            <w:left w:val="none" w:sz="0" w:space="0" w:color="auto"/>
            <w:bottom w:val="none" w:sz="0" w:space="0" w:color="auto"/>
            <w:right w:val="none" w:sz="0" w:space="0" w:color="auto"/>
          </w:divBdr>
        </w:div>
        <w:div w:id="797647801">
          <w:marLeft w:val="1800"/>
          <w:marRight w:val="0"/>
          <w:marTop w:val="58"/>
          <w:marBottom w:val="0"/>
          <w:divBdr>
            <w:top w:val="none" w:sz="0" w:space="0" w:color="auto"/>
            <w:left w:val="none" w:sz="0" w:space="0" w:color="auto"/>
            <w:bottom w:val="none" w:sz="0" w:space="0" w:color="auto"/>
            <w:right w:val="none" w:sz="0" w:space="0" w:color="auto"/>
          </w:divBdr>
        </w:div>
      </w:divsChild>
    </w:div>
    <w:div w:id="2093312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package" Target="embeddings/Microsoft_PowerPoint_Slide2.sldx"/><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home.northgrum.com/corp_cmd_media/Documents/h103.doc" TargetMode="Externa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4.emf"/><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package" Target="embeddings/Microsoft_PowerPoint_Slide1.sldx"/><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home.northgrum.com/corp_cmd_media/Documents/h103.doc" TargetMode="Externa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hyperlink" Target="http://home.northgrum.com/corp_cmd_media/Documents/h103.doc" TargetMode="External"/><Relationship Id="rId10" Type="http://schemas.openxmlformats.org/officeDocument/2006/relationships/footnotes" Target="foot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2.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EA753B2E1256A4FB6BDCE47707B1750" ma:contentTypeVersion="1" ma:contentTypeDescription="Create a new document." ma:contentTypeScope="" ma:versionID="a285b86b68df368e8183189e7c7eefe2">
  <xsd:schema xmlns:xsd="http://www.w3.org/2001/XMLSchema" xmlns:p="http://schemas.microsoft.com/office/2006/metadata/properties" xmlns:ns1="http://schemas.microsoft.com/sharepoint/v3" targetNamespace="http://schemas.microsoft.com/office/2006/metadata/properties" ma:root="true" ma:fieldsID="ddb0c952b897a810c8a4e377cff6bff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0DC3D1-F3E5-42EC-B2E0-55BF05F3AD3A}">
  <ds:schemaRefs>
    <ds:schemaRef ds:uri="http://schemas.microsoft.com/office/2006/metadata/properties"/>
    <ds:schemaRef ds:uri="http://schemas.microsoft.com/sharepoint/v3"/>
  </ds:schemaRefs>
</ds:datastoreItem>
</file>

<file path=customXml/itemProps2.xml><?xml version="1.0" encoding="utf-8"?>
<ds:datastoreItem xmlns:ds="http://schemas.openxmlformats.org/officeDocument/2006/customXml" ds:itemID="{8C2A3676-3982-4593-B84F-A827FD0A67C6}">
  <ds:schemaRefs>
    <ds:schemaRef ds:uri="http://schemas.microsoft.com/sharepoint/v3/contenttype/forms"/>
  </ds:schemaRefs>
</ds:datastoreItem>
</file>

<file path=customXml/itemProps3.xml><?xml version="1.0" encoding="utf-8"?>
<ds:datastoreItem xmlns:ds="http://schemas.openxmlformats.org/officeDocument/2006/customXml" ds:itemID="{26E880D2-55E1-4E0D-8732-EADAF02396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56DA7541-DB67-4E3A-86C9-2D267C669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3876</Words>
  <Characters>22094</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Chapter Lessons Learned</vt:lpstr>
    </vt:vector>
  </TitlesOfParts>
  <Company>Northrop Grumman Corporation</Company>
  <LinksUpToDate>false</LinksUpToDate>
  <CharactersWithSpaces>25919</CharactersWithSpaces>
  <SharedDoc>false</SharedDoc>
  <HLinks>
    <vt:vector size="156" baseType="variant">
      <vt:variant>
        <vt:i4>1245233</vt:i4>
      </vt:variant>
      <vt:variant>
        <vt:i4>152</vt:i4>
      </vt:variant>
      <vt:variant>
        <vt:i4>0</vt:i4>
      </vt:variant>
      <vt:variant>
        <vt:i4>5</vt:i4>
      </vt:variant>
      <vt:variant>
        <vt:lpwstr/>
      </vt:variant>
      <vt:variant>
        <vt:lpwstr>_Toc273347474</vt:lpwstr>
      </vt:variant>
      <vt:variant>
        <vt:i4>1245233</vt:i4>
      </vt:variant>
      <vt:variant>
        <vt:i4>146</vt:i4>
      </vt:variant>
      <vt:variant>
        <vt:i4>0</vt:i4>
      </vt:variant>
      <vt:variant>
        <vt:i4>5</vt:i4>
      </vt:variant>
      <vt:variant>
        <vt:lpwstr/>
      </vt:variant>
      <vt:variant>
        <vt:lpwstr>_Toc273347473</vt:lpwstr>
      </vt:variant>
      <vt:variant>
        <vt:i4>1245233</vt:i4>
      </vt:variant>
      <vt:variant>
        <vt:i4>140</vt:i4>
      </vt:variant>
      <vt:variant>
        <vt:i4>0</vt:i4>
      </vt:variant>
      <vt:variant>
        <vt:i4>5</vt:i4>
      </vt:variant>
      <vt:variant>
        <vt:lpwstr/>
      </vt:variant>
      <vt:variant>
        <vt:lpwstr>_Toc273347472</vt:lpwstr>
      </vt:variant>
      <vt:variant>
        <vt:i4>1245233</vt:i4>
      </vt:variant>
      <vt:variant>
        <vt:i4>134</vt:i4>
      </vt:variant>
      <vt:variant>
        <vt:i4>0</vt:i4>
      </vt:variant>
      <vt:variant>
        <vt:i4>5</vt:i4>
      </vt:variant>
      <vt:variant>
        <vt:lpwstr/>
      </vt:variant>
      <vt:variant>
        <vt:lpwstr>_Toc273347471</vt:lpwstr>
      </vt:variant>
      <vt:variant>
        <vt:i4>1245233</vt:i4>
      </vt:variant>
      <vt:variant>
        <vt:i4>128</vt:i4>
      </vt:variant>
      <vt:variant>
        <vt:i4>0</vt:i4>
      </vt:variant>
      <vt:variant>
        <vt:i4>5</vt:i4>
      </vt:variant>
      <vt:variant>
        <vt:lpwstr/>
      </vt:variant>
      <vt:variant>
        <vt:lpwstr>_Toc273347470</vt:lpwstr>
      </vt:variant>
      <vt:variant>
        <vt:i4>1179697</vt:i4>
      </vt:variant>
      <vt:variant>
        <vt:i4>122</vt:i4>
      </vt:variant>
      <vt:variant>
        <vt:i4>0</vt:i4>
      </vt:variant>
      <vt:variant>
        <vt:i4>5</vt:i4>
      </vt:variant>
      <vt:variant>
        <vt:lpwstr/>
      </vt:variant>
      <vt:variant>
        <vt:lpwstr>_Toc273347469</vt:lpwstr>
      </vt:variant>
      <vt:variant>
        <vt:i4>1179697</vt:i4>
      </vt:variant>
      <vt:variant>
        <vt:i4>116</vt:i4>
      </vt:variant>
      <vt:variant>
        <vt:i4>0</vt:i4>
      </vt:variant>
      <vt:variant>
        <vt:i4>5</vt:i4>
      </vt:variant>
      <vt:variant>
        <vt:lpwstr/>
      </vt:variant>
      <vt:variant>
        <vt:lpwstr>_Toc273347468</vt:lpwstr>
      </vt:variant>
      <vt:variant>
        <vt:i4>1179697</vt:i4>
      </vt:variant>
      <vt:variant>
        <vt:i4>110</vt:i4>
      </vt:variant>
      <vt:variant>
        <vt:i4>0</vt:i4>
      </vt:variant>
      <vt:variant>
        <vt:i4>5</vt:i4>
      </vt:variant>
      <vt:variant>
        <vt:lpwstr/>
      </vt:variant>
      <vt:variant>
        <vt:lpwstr>_Toc273347467</vt:lpwstr>
      </vt:variant>
      <vt:variant>
        <vt:i4>1179697</vt:i4>
      </vt:variant>
      <vt:variant>
        <vt:i4>104</vt:i4>
      </vt:variant>
      <vt:variant>
        <vt:i4>0</vt:i4>
      </vt:variant>
      <vt:variant>
        <vt:i4>5</vt:i4>
      </vt:variant>
      <vt:variant>
        <vt:lpwstr/>
      </vt:variant>
      <vt:variant>
        <vt:lpwstr>_Toc273347466</vt:lpwstr>
      </vt:variant>
      <vt:variant>
        <vt:i4>1179697</vt:i4>
      </vt:variant>
      <vt:variant>
        <vt:i4>98</vt:i4>
      </vt:variant>
      <vt:variant>
        <vt:i4>0</vt:i4>
      </vt:variant>
      <vt:variant>
        <vt:i4>5</vt:i4>
      </vt:variant>
      <vt:variant>
        <vt:lpwstr/>
      </vt:variant>
      <vt:variant>
        <vt:lpwstr>_Toc273347465</vt:lpwstr>
      </vt:variant>
      <vt:variant>
        <vt:i4>1179697</vt:i4>
      </vt:variant>
      <vt:variant>
        <vt:i4>92</vt:i4>
      </vt:variant>
      <vt:variant>
        <vt:i4>0</vt:i4>
      </vt:variant>
      <vt:variant>
        <vt:i4>5</vt:i4>
      </vt:variant>
      <vt:variant>
        <vt:lpwstr/>
      </vt:variant>
      <vt:variant>
        <vt:lpwstr>_Toc273347464</vt:lpwstr>
      </vt:variant>
      <vt:variant>
        <vt:i4>1179697</vt:i4>
      </vt:variant>
      <vt:variant>
        <vt:i4>86</vt:i4>
      </vt:variant>
      <vt:variant>
        <vt:i4>0</vt:i4>
      </vt:variant>
      <vt:variant>
        <vt:i4>5</vt:i4>
      </vt:variant>
      <vt:variant>
        <vt:lpwstr/>
      </vt:variant>
      <vt:variant>
        <vt:lpwstr>_Toc273347463</vt:lpwstr>
      </vt:variant>
      <vt:variant>
        <vt:i4>1179697</vt:i4>
      </vt:variant>
      <vt:variant>
        <vt:i4>80</vt:i4>
      </vt:variant>
      <vt:variant>
        <vt:i4>0</vt:i4>
      </vt:variant>
      <vt:variant>
        <vt:i4>5</vt:i4>
      </vt:variant>
      <vt:variant>
        <vt:lpwstr/>
      </vt:variant>
      <vt:variant>
        <vt:lpwstr>_Toc273347462</vt:lpwstr>
      </vt:variant>
      <vt:variant>
        <vt:i4>1179697</vt:i4>
      </vt:variant>
      <vt:variant>
        <vt:i4>74</vt:i4>
      </vt:variant>
      <vt:variant>
        <vt:i4>0</vt:i4>
      </vt:variant>
      <vt:variant>
        <vt:i4>5</vt:i4>
      </vt:variant>
      <vt:variant>
        <vt:lpwstr/>
      </vt:variant>
      <vt:variant>
        <vt:lpwstr>_Toc273347461</vt:lpwstr>
      </vt:variant>
      <vt:variant>
        <vt:i4>1179697</vt:i4>
      </vt:variant>
      <vt:variant>
        <vt:i4>68</vt:i4>
      </vt:variant>
      <vt:variant>
        <vt:i4>0</vt:i4>
      </vt:variant>
      <vt:variant>
        <vt:i4>5</vt:i4>
      </vt:variant>
      <vt:variant>
        <vt:lpwstr/>
      </vt:variant>
      <vt:variant>
        <vt:lpwstr>_Toc273347460</vt:lpwstr>
      </vt:variant>
      <vt:variant>
        <vt:i4>1114161</vt:i4>
      </vt:variant>
      <vt:variant>
        <vt:i4>62</vt:i4>
      </vt:variant>
      <vt:variant>
        <vt:i4>0</vt:i4>
      </vt:variant>
      <vt:variant>
        <vt:i4>5</vt:i4>
      </vt:variant>
      <vt:variant>
        <vt:lpwstr/>
      </vt:variant>
      <vt:variant>
        <vt:lpwstr>_Toc273347459</vt:lpwstr>
      </vt:variant>
      <vt:variant>
        <vt:i4>1114161</vt:i4>
      </vt:variant>
      <vt:variant>
        <vt:i4>56</vt:i4>
      </vt:variant>
      <vt:variant>
        <vt:i4>0</vt:i4>
      </vt:variant>
      <vt:variant>
        <vt:i4>5</vt:i4>
      </vt:variant>
      <vt:variant>
        <vt:lpwstr/>
      </vt:variant>
      <vt:variant>
        <vt:lpwstr>_Toc273347458</vt:lpwstr>
      </vt:variant>
      <vt:variant>
        <vt:i4>1114161</vt:i4>
      </vt:variant>
      <vt:variant>
        <vt:i4>50</vt:i4>
      </vt:variant>
      <vt:variant>
        <vt:i4>0</vt:i4>
      </vt:variant>
      <vt:variant>
        <vt:i4>5</vt:i4>
      </vt:variant>
      <vt:variant>
        <vt:lpwstr/>
      </vt:variant>
      <vt:variant>
        <vt:lpwstr>_Toc273347457</vt:lpwstr>
      </vt:variant>
      <vt:variant>
        <vt:i4>1114161</vt:i4>
      </vt:variant>
      <vt:variant>
        <vt:i4>44</vt:i4>
      </vt:variant>
      <vt:variant>
        <vt:i4>0</vt:i4>
      </vt:variant>
      <vt:variant>
        <vt:i4>5</vt:i4>
      </vt:variant>
      <vt:variant>
        <vt:lpwstr/>
      </vt:variant>
      <vt:variant>
        <vt:lpwstr>_Toc273347456</vt:lpwstr>
      </vt:variant>
      <vt:variant>
        <vt:i4>1114161</vt:i4>
      </vt:variant>
      <vt:variant>
        <vt:i4>38</vt:i4>
      </vt:variant>
      <vt:variant>
        <vt:i4>0</vt:i4>
      </vt:variant>
      <vt:variant>
        <vt:i4>5</vt:i4>
      </vt:variant>
      <vt:variant>
        <vt:lpwstr/>
      </vt:variant>
      <vt:variant>
        <vt:lpwstr>_Toc273347455</vt:lpwstr>
      </vt:variant>
      <vt:variant>
        <vt:i4>1114161</vt:i4>
      </vt:variant>
      <vt:variant>
        <vt:i4>32</vt:i4>
      </vt:variant>
      <vt:variant>
        <vt:i4>0</vt:i4>
      </vt:variant>
      <vt:variant>
        <vt:i4>5</vt:i4>
      </vt:variant>
      <vt:variant>
        <vt:lpwstr/>
      </vt:variant>
      <vt:variant>
        <vt:lpwstr>_Toc273347454</vt:lpwstr>
      </vt:variant>
      <vt:variant>
        <vt:i4>1114161</vt:i4>
      </vt:variant>
      <vt:variant>
        <vt:i4>26</vt:i4>
      </vt:variant>
      <vt:variant>
        <vt:i4>0</vt:i4>
      </vt:variant>
      <vt:variant>
        <vt:i4>5</vt:i4>
      </vt:variant>
      <vt:variant>
        <vt:lpwstr/>
      </vt:variant>
      <vt:variant>
        <vt:lpwstr>_Toc273347453</vt:lpwstr>
      </vt:variant>
      <vt:variant>
        <vt:i4>1114161</vt:i4>
      </vt:variant>
      <vt:variant>
        <vt:i4>20</vt:i4>
      </vt:variant>
      <vt:variant>
        <vt:i4>0</vt:i4>
      </vt:variant>
      <vt:variant>
        <vt:i4>5</vt:i4>
      </vt:variant>
      <vt:variant>
        <vt:lpwstr/>
      </vt:variant>
      <vt:variant>
        <vt:lpwstr>_Toc273347452</vt:lpwstr>
      </vt:variant>
      <vt:variant>
        <vt:i4>1114161</vt:i4>
      </vt:variant>
      <vt:variant>
        <vt:i4>14</vt:i4>
      </vt:variant>
      <vt:variant>
        <vt:i4>0</vt:i4>
      </vt:variant>
      <vt:variant>
        <vt:i4>5</vt:i4>
      </vt:variant>
      <vt:variant>
        <vt:lpwstr/>
      </vt:variant>
      <vt:variant>
        <vt:lpwstr>_Toc273347451</vt:lpwstr>
      </vt:variant>
      <vt:variant>
        <vt:i4>1114161</vt:i4>
      </vt:variant>
      <vt:variant>
        <vt:i4>8</vt:i4>
      </vt:variant>
      <vt:variant>
        <vt:i4>0</vt:i4>
      </vt:variant>
      <vt:variant>
        <vt:i4>5</vt:i4>
      </vt:variant>
      <vt:variant>
        <vt:lpwstr/>
      </vt:variant>
      <vt:variant>
        <vt:lpwstr>_Toc273347450</vt:lpwstr>
      </vt:variant>
      <vt:variant>
        <vt:i4>1048625</vt:i4>
      </vt:variant>
      <vt:variant>
        <vt:i4>2</vt:i4>
      </vt:variant>
      <vt:variant>
        <vt:i4>0</vt:i4>
      </vt:variant>
      <vt:variant>
        <vt:i4>5</vt:i4>
      </vt:variant>
      <vt:variant>
        <vt:lpwstr/>
      </vt:variant>
      <vt:variant>
        <vt:lpwstr>_Toc273347449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Lessons Learned</dc:title>
  <dc:creator>s288900</dc:creator>
  <cp:lastModifiedBy>hillhe</cp:lastModifiedBy>
  <cp:revision>2</cp:revision>
  <cp:lastPrinted>2007-08-02T16:25:00Z</cp:lastPrinted>
  <dcterms:created xsi:type="dcterms:W3CDTF">2014-05-08T15:58:00Z</dcterms:created>
  <dcterms:modified xsi:type="dcterms:W3CDTF">2014-05-08T15:58:00Z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0x0101004EA753B2E1256A4FB6BDCE47707B1750</vt:lpwstr>
  </property>
</Properties>
</file>